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.png" ContentType="image/png"/>
  <Override PartName="/word/media/image3.jpeg" ContentType="image/jpeg"/>
  <Override PartName="/word/media/image5.png" ContentType="image/png"/>
  <Override PartName="/word/media/image4.jpeg" ContentType="image/jpeg"/>
  <Override PartName="/word/media/image6.png" ContentType="image/png"/>
  <Override PartName="/word/media/image2.png" ContentType="image/png"/>
  <Override PartName="/word/media/image7.jpeg" ContentType="image/jpe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sz w:val="32"/>
          <w:szCs w:val="32"/>
          <w:lang w:eastAsia="ru-RU"/>
        </w:rPr>
        <w:t>ПРАВИТЕЛЬСТВО МОСКВЫ</w:t>
      </w:r>
    </w:p>
    <w:p>
      <w:pPr>
        <w:pStyle w:val="Normal"/>
        <w:pBdr>
          <w:bottom w:val="single" w:sz="12" w:space="1" w:color="000000"/>
        </w:pBdr>
        <w:spacing w:lineRule="auto" w:line="360" w:before="0" w:after="0"/>
        <w:jc w:val="center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sz w:val="32"/>
          <w:szCs w:val="32"/>
          <w:lang w:eastAsia="ru-RU"/>
        </w:rPr>
        <w:t>Департамент здравоохранения города Москвы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  <w:t>ДИФФЕРЕНЦИАЛЬНАЯ ДИАГНОСТИКА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  <w:t>БОЛЕВЫХ СИНДРОМОВ В КЛИНИКЕ ЛОР-БОЛЕЗНЕЙ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Методические рекомендации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Москва – 2016</w:t>
      </w:r>
      <w:r>
        <w:br w:type="page"/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/>
          <w:bCs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32"/>
          <w:lang w:eastAsia="ru-RU"/>
        </w:rPr>
        <w:t>ПРАВИТЕЛЬСТВО МОСКВЫ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sz w:val="32"/>
          <w:szCs w:val="32"/>
          <w:lang w:eastAsia="ru-RU"/>
        </w:rPr>
        <w:t>Департамент здравоохранения города Москвы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tbl>
      <w:tblPr>
        <w:tblW w:w="9474" w:type="dxa"/>
        <w:jc w:val="left"/>
        <w:tblInd w:w="-108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9"/>
        <w:gridCol w:w="1276"/>
        <w:gridCol w:w="3979"/>
      </w:tblGrid>
      <w:tr>
        <w:trPr/>
        <w:tc>
          <w:tcPr>
            <w:tcW w:w="421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Заместитель председателя Ученого медицинского совета Департамента здравоохранения города Москвы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Л.Г. Костомарова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«        »  ___________ 201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  г.</w:t>
            </w:r>
          </w:p>
        </w:tc>
        <w:tc>
          <w:tcPr>
            <w:tcW w:w="1276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</w:r>
          </w:p>
        </w:tc>
        <w:tc>
          <w:tcPr>
            <w:tcW w:w="397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8"/>
                <w:szCs w:val="28"/>
                <w:lang w:eastAsia="ru-RU"/>
              </w:rPr>
              <w:t>УТВЕРЖДАЮ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Первый заместитель руководителя Департамента здравоохранения города Москвы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Н.Н. Потекаев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«       » __________  201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  <w:t xml:space="preserve">                                             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                                                        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  <w:t xml:space="preserve">Дифференциальная диагностика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sz w:val="32"/>
          <w:szCs w:val="32"/>
          <w:lang w:eastAsia="ru-RU"/>
        </w:rPr>
        <w:t>болевых синдромов в клинике ЛОР-болезней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Методические рекомендации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right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right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Главный внештатный оториноларинголог</w:t>
      </w:r>
    </w:p>
    <w:p>
      <w:pPr>
        <w:pStyle w:val="Normal"/>
        <w:spacing w:lineRule="auto" w:line="360" w:before="0" w:after="0"/>
        <w:jc w:val="right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Департамента здравоохранения города Москвы,</w:t>
      </w:r>
    </w:p>
    <w:p>
      <w:pPr>
        <w:pStyle w:val="Normal"/>
        <w:spacing w:lineRule="auto" w:line="360" w:before="0" w:after="0"/>
        <w:jc w:val="right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Засл.деятель науки РФ, д.м.н., профессор А.И. Крюков</w:t>
      </w:r>
    </w:p>
    <w:p>
      <w:pPr>
        <w:pStyle w:val="Normal"/>
        <w:spacing w:lineRule="auto" w:line="360" w:before="0" w:after="0"/>
        <w:jc w:val="right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«      » ________ 2015  г.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center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Москва – 2015</w:t>
      </w:r>
      <w:r>
        <w:br w:type="page"/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>Учреждение-разработчик: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 xml:space="preserve">Государственное бюджетное учреждение здравоохранения города Москвы «Научно-исследовательский клинический институт оториноларингологии им. Л.И.Свержевского» Департамента здравоохранения города Москвы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и кафедра оториноларингологии лечебного факультета Государственного бюджетного образовательного учреждения высшего профессионального образования «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  <w:lang w:eastAsia="ru-RU"/>
        </w:rPr>
        <w:t>Российский национальный исследовательский медицинский университет имени Н.И. Пирогова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lang w:eastAsia="ru-RU"/>
        </w:rPr>
        <w:t>» МЗ РФ.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 xml:space="preserve">Составители: </w:t>
      </w:r>
    </w:p>
    <w:p>
      <w:pPr>
        <w:pStyle w:val="Normal"/>
        <w:spacing w:lineRule="auto" w:line="360" w:before="0" w:after="0"/>
        <w:ind w:left="709" w:hanging="1"/>
        <w:jc w:val="both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Засл.деятель науки РФ, д.м.н. проф. </w:t>
      </w: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>А.И.Крюков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; член-корр.РАН, Засл.деятель науки РФ д.м.н., проф. </w:t>
      </w: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>В.Т.Пальчун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; д.м.н. проф. </w:t>
      </w: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>Н.Л.Кунельская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; д.м.н. </w:t>
      </w: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>М.В.Тардов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;</w:t>
      </w: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Cs/>
          <w:sz w:val="28"/>
          <w:szCs w:val="24"/>
          <w:lang w:eastAsia="ru-RU"/>
        </w:rPr>
        <w:t xml:space="preserve">к.м.н. </w:t>
      </w: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  <w:t xml:space="preserve">А.В.Клясов; </w:t>
      </w:r>
      <w:r>
        <w:rPr>
          <w:rFonts w:eastAsia="Times New Roman" w:cs="Times New Roman" w:ascii="Times New Roman" w:hAnsi="Times New Roman"/>
          <w:bCs/>
          <w:sz w:val="28"/>
          <w:szCs w:val="24"/>
          <w:lang w:eastAsia="ru-RU"/>
        </w:rPr>
        <w:t>к.м.н.</w:t>
      </w: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  <w:t xml:space="preserve"> Е.С.Янюшкина, </w:t>
      </w:r>
      <w:r>
        <w:rPr>
          <w:rFonts w:eastAsia="Times New Roman" w:cs="Times New Roman" w:ascii="Times New Roman" w:hAnsi="Times New Roman"/>
          <w:bCs/>
          <w:sz w:val="28"/>
          <w:szCs w:val="24"/>
          <w:lang w:eastAsia="ru-RU"/>
        </w:rPr>
        <w:t>к.м.н.</w:t>
      </w: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  <w:t xml:space="preserve"> Е.В.Байбакова; </w:t>
      </w:r>
      <w:r>
        <w:rPr>
          <w:rFonts w:eastAsia="Times New Roman" w:cs="Times New Roman" w:ascii="Times New Roman" w:hAnsi="Times New Roman"/>
          <w:bCs/>
          <w:sz w:val="28"/>
          <w:szCs w:val="24"/>
          <w:lang w:eastAsia="ru-RU"/>
        </w:rPr>
        <w:t>к.м.н.</w:t>
      </w:r>
      <w:r>
        <w:rPr>
          <w:rFonts w:eastAsia="Times New Roman" w:cs="Times New Roman" w:ascii="Times New Roman" w:hAnsi="Times New Roman"/>
          <w:b/>
          <w:bCs/>
          <w:sz w:val="28"/>
          <w:szCs w:val="24"/>
          <w:lang w:eastAsia="ru-RU"/>
        </w:rPr>
        <w:t xml:space="preserve"> М.А.Чугунова; З.О.Заоева; Никиткина Я.Ю., В.О.Якимов.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both"/>
        <w:rPr/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>Рецензенты</w:t>
      </w: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доктор медицинских наук, профессор И.Д.Стулин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доктор медицинских наук, профессор С.В.Морозова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b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4"/>
          <w:lang w:eastAsia="ru-RU"/>
        </w:rPr>
        <w:t>Предназначение:</w:t>
      </w:r>
    </w:p>
    <w:p>
      <w:pPr>
        <w:pStyle w:val="Normal"/>
        <w:spacing w:lineRule="auto" w:line="36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 xml:space="preserve">В методических рекомендациях описаны наиболее часто встречающиеся формы лицевых и головных болей, имитирующими заболевания ЛОР органов, и основы дифференциальной диагностики краниофациалгий – одной из наиболее частых жалоб на амбулаторном приеме. Методические рекомендации рассчитаны на врачей оториноларингологов, неврологов, отоневрологов и врачей общего профиля.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4"/>
          <w:lang w:eastAsia="ru-RU"/>
        </w:rPr>
        <w:t>Данный документ является собственностью Департамента здравоохранения города Москвы и не подлежит тиражированию без соответствующего разрешения.</w:t>
      </w:r>
      <w:r>
        <w:br w:type="page"/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Вступление</w:t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Большая часть заболеваний уха, горла и носа сопровождается болевым синдромом. Дифференциальная диагностика с иными причинами болей непроста и требует знакомства врача с Международной классификацией головных болей третьего пересмотра (МКГБ-3), включающей более 200 алгических феноменов.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Сложность диагностики связана с тем, что иннервация органа слуха, носа, околоносовых пазух, глотки и гортани обеспечивается теми же нервами, которые снабжают кожу лица и головы, мышцы (жевательные, мимические, шейные), структуры ротовой полости (слизистую оболочку, язык, десны, зубы), слюнные железы. Чувствительная иннервация головы и лица осуществляется тройничным (</w:t>
      </w:r>
      <w:r>
        <w:rPr>
          <w:rFonts w:cs="Times New Roman" w:ascii="Times New Roman" w:hAnsi="Times New Roman"/>
          <w:sz w:val="28"/>
          <w:szCs w:val="28"/>
          <w:lang w:val="en-US"/>
        </w:rPr>
        <w:t>V</w:t>
      </w:r>
      <w:r>
        <w:rPr>
          <w:rFonts w:cs="Times New Roman" w:ascii="Times New Roman" w:hAnsi="Times New Roman"/>
          <w:sz w:val="28"/>
          <w:szCs w:val="28"/>
        </w:rPr>
        <w:t xml:space="preserve"> пара), языкоглоточным (</w:t>
      </w:r>
      <w:r>
        <w:rPr>
          <w:rFonts w:cs="Times New Roman" w:ascii="Times New Roman" w:hAnsi="Times New Roman"/>
          <w:sz w:val="28"/>
          <w:szCs w:val="28"/>
          <w:lang w:val="en-US"/>
        </w:rPr>
        <w:t>IX</w:t>
      </w:r>
      <w:r>
        <w:rPr>
          <w:rFonts w:cs="Times New Roman" w:ascii="Times New Roman" w:hAnsi="Times New Roman"/>
          <w:sz w:val="28"/>
          <w:szCs w:val="28"/>
        </w:rPr>
        <w:t xml:space="preserve"> пара), блуждающим (</w:t>
      </w:r>
      <w:r>
        <w:rPr>
          <w:rFonts w:cs="Times New Roman" w:ascii="Times New Roman" w:hAnsi="Times New Roman"/>
          <w:sz w:val="28"/>
          <w:szCs w:val="28"/>
          <w:lang w:val="en-US"/>
        </w:rPr>
        <w:t>X</w:t>
      </w:r>
      <w:r>
        <w:rPr>
          <w:rFonts w:cs="Times New Roman" w:ascii="Times New Roman" w:hAnsi="Times New Roman"/>
          <w:sz w:val="28"/>
          <w:szCs w:val="28"/>
        </w:rPr>
        <w:t xml:space="preserve"> пара) черепными нервами и верхне-шейными позвоночными нервами (С1, С2, С3). Ощущения, вызываемые патологическим процессом в тканях и связанные с повреждением самих нервов, разветвляющихся в этих тканях, часто практически неотличимы.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Нередко воспаление в ЛОР-органах сопровождается невралгией соответствующего нерва. В подобных случаях точная диагностика реально возможна после полного курса лечения локального воспалительного процесса. Чаще всего требуется дифференцировать с</w:t>
      </w:r>
      <w:r>
        <w:rPr>
          <w:rFonts w:cs="Times New Roman" w:ascii="Times New Roman" w:hAnsi="Times New Roman"/>
          <w:bCs/>
          <w:sz w:val="28"/>
          <w:szCs w:val="28"/>
        </w:rPr>
        <w:t>инусогенные боли, оталгии и глоссалгии от невралгий черепных нервов и ганглионитов, а также от миофасциальных феноменов шейных и жевательных мышц. Отдельные проблемы составляют идиопатическая персистирующая лицевая боль и мигрень со стволовой аурой.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Синусогенные боли обычно связаны с воспалительным или гиперпластическим процессом; характеризуются ощущением распирания и переливания при наклоне головы, облегчаются после применения назальных деконгестантов. Однако изолированный сфеноидит может протекать и не столь типично. Зачастую в его диагностике помогает только КТ околоносовых пазух.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 термином «оталгия» подразумевают боли в ухе, связанные с заболеванием наружного или среднего уха в основном воспалительного или неопластического характера. Как правило, ощущения по характеру монотонные, могут быть распирающими, облегчаются от местного согревания. Зачастую боль в ухе оказывается отраженной из области шеи, структур, глотки и ротовой полости; может быть связана с патологией височно-нижнечелюстного сустава или дисфункцией слуховой трубы.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Глоссалгия – язычные боли – могут возникать как следствие повреждения языка, например, протезом: монотонные, усиливаются при локальных воздействиях (пища, зубная щетка). Боль в языке может быть одним из проявлений пернициозной анемии при дефиците витамина В12. Если же неприятные ощущения захватывают весь язык и облегчаются при разговоре, то речь может идти о глоссодинии (с-мы пылающего рта, пылающего языка), что требует особого терапевтического подхода.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Перечисленные варианты относятся к ноцицептивным болям, т.е. связаны с непосредственным повреждением тканей в связи с воспалением, развитием новообразования или травмой, в т.ч. операционной. Перечисленные болевые синдромы могут купироваться нестероидными противовоспалительными средствами.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Невралгии и ганглиониты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Второй тип боли – нейропатическая – связан с повреждением чувствительных путей в нервной системе на любом уровне: периферическом или центральном. К этой категории относятся заболевания нервных стволов и узлов. Основное п</w:t>
      </w:r>
      <w:r>
        <w:rPr>
          <w:rFonts w:cs="Times New Roman" w:ascii="Times New Roman" w:hAnsi="Times New Roman"/>
          <w:bCs/>
          <w:sz w:val="28"/>
          <w:szCs w:val="28"/>
        </w:rPr>
        <w:t>роявление – невралгия. Однако при повреждении или компрессии нервного ствола часто приходится столкнуться и с другими нарушениями: дизестезия (нарушение чувствительности кожи и слизистых) и/или гиперпатия (повышенная чувствительность кожи и слизистых).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Невралгические боли описываются как приступообразные, жгучие, типа «зубных», распространяются в области иннервации заинтересованного нерва. Типично наличие триггерных точек (ТТ) в зоне ветвей соответствующего нерва. ТТ – это не просто болезненный при пальпации пункт, но такой, раздражение которого вызывает стандартный болевой приступ – «прострел».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Ганглиониты проявляются более тяжелыми приступами болей с отчетливым симпаталгическим оттенком, т.е. жгучие, режущие, в зоне, соответствующей области распространения нервов, связанных с конкретным узлом. Поскольку между узлами и нервами в области головы существуют многочисленные связи, то распространение болей сходно: попросту говоря вплоть до половины головы и даже на голову в целом.</w:t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inline distT="0" distB="0" distL="0" distR="0">
            <wp:extent cx="5889625" cy="400304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spacing w:lineRule="auto" w:line="36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Рисунок 1.</w:t>
      </w:r>
      <w:r>
        <w:rPr>
          <w:rFonts w:cs="Times New Roman" w:ascii="Times New Roman" w:hAnsi="Times New Roman"/>
          <w:sz w:val="28"/>
          <w:szCs w:val="28"/>
        </w:rPr>
        <w:t xml:space="preserve"> Кожная иннервация головы и шеи.</w:t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Причины: травмы, воспалительные процессы, переохлаждение, герпес-вирусная инфекция. Обострение персистирующей в нервном ганглии герпетической инфекции проявляется характерными пузырьковыми высыпаниями в зоне распространения чувствительного нерва, соответствующего компрометированному узлу. Следует помнить, что болевой синдром может предшествовать появлению типичной кожной сыпи.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Эффективны локальные блокады местными анестетиками и пероральная терапия: антиконвульсанты, трициклические антидепрессанты, нейролептики.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Нервы </w:t>
      </w:r>
      <w:r>
        <w:rPr>
          <w:rFonts w:cs="Times New Roman" w:ascii="Times New Roman" w:hAnsi="Times New Roman"/>
          <w:bCs/>
          <w:sz w:val="28"/>
          <w:szCs w:val="28"/>
        </w:rPr>
        <w:t>(Рис.1), обеспечивающие чувствительность кожи головы, лица, органа слуха, околоносовых пазух: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- тройничный с его основными ветвями (</w:t>
      </w:r>
      <w:r>
        <w:rPr>
          <w:rFonts w:cs="Times New Roman" w:ascii="Times New Roman" w:hAnsi="Times New Roman"/>
          <w:bCs/>
          <w:iCs/>
          <w:sz w:val="28"/>
          <w:szCs w:val="28"/>
        </w:rPr>
        <w:t>глазничный, верхне- и нижнечелюстной) и ветвями второго порядка (</w:t>
      </w:r>
      <w:r>
        <w:rPr>
          <w:rFonts w:cs="Times New Roman" w:ascii="Times New Roman" w:hAnsi="Times New Roman"/>
          <w:iCs/>
          <w:sz w:val="28"/>
          <w:szCs w:val="28"/>
        </w:rPr>
        <w:t>носоресничный, лобный, альвеолярные, щечный, скуловой, ушновисочный, подглазничный, язычный</w:t>
      </w:r>
      <w:r>
        <w:rPr>
          <w:rFonts w:cs="Times New Roman" w:ascii="Times New Roman" w:hAnsi="Times New Roman"/>
          <w:bCs/>
          <w:sz w:val="28"/>
          <w:szCs w:val="28"/>
        </w:rPr>
        <w:t>);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- языкоглоточный и его ветвь – </w:t>
      </w:r>
      <w:r>
        <w:rPr>
          <w:rFonts w:cs="Times New Roman" w:ascii="Times New Roman" w:hAnsi="Times New Roman"/>
          <w:bCs/>
          <w:iCs/>
          <w:sz w:val="28"/>
          <w:szCs w:val="28"/>
        </w:rPr>
        <w:t>барабанный;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- промежуточный;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- Видиев;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- большой затылочный.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Нервные узлы, </w:t>
      </w:r>
      <w:r>
        <w:rPr>
          <w:rFonts w:cs="Times New Roman" w:ascii="Times New Roman" w:hAnsi="Times New Roman"/>
          <w:bCs/>
          <w:sz w:val="28"/>
          <w:szCs w:val="28"/>
        </w:rPr>
        <w:t>связанные с системой перечисленных нервов:</w:t>
      </w:r>
    </w:p>
    <w:p>
      <w:pPr>
        <w:pStyle w:val="Style18"/>
        <w:spacing w:lineRule="auto" w:line="360"/>
        <w:ind w:left="709" w:hanging="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- Гассеров;</w:t>
      </w:r>
    </w:p>
    <w:p>
      <w:pPr>
        <w:pStyle w:val="Style18"/>
        <w:spacing w:lineRule="auto" w:line="360"/>
        <w:ind w:left="709" w:hanging="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- ресничный;</w:t>
      </w:r>
    </w:p>
    <w:p>
      <w:pPr>
        <w:pStyle w:val="Style18"/>
        <w:spacing w:lineRule="auto" w:line="360"/>
        <w:ind w:left="709" w:hanging="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- крылонебный;</w:t>
      </w:r>
    </w:p>
    <w:p>
      <w:pPr>
        <w:pStyle w:val="Style18"/>
        <w:spacing w:lineRule="auto" w:line="360"/>
        <w:ind w:left="709" w:hanging="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- ушной;</w:t>
      </w:r>
    </w:p>
    <w:p>
      <w:pPr>
        <w:pStyle w:val="Style18"/>
        <w:spacing w:lineRule="auto" w:line="360"/>
        <w:ind w:left="709" w:hanging="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- поднижнечелюстной;</w:t>
      </w:r>
    </w:p>
    <w:p>
      <w:pPr>
        <w:pStyle w:val="Style18"/>
        <w:spacing w:lineRule="auto" w:line="360"/>
        <w:ind w:left="709" w:hanging="0"/>
        <w:jc w:val="both"/>
        <w:rPr/>
      </w:pPr>
      <w:r>
        <w:rPr>
          <w:rFonts w:cs="Times New Roman" w:ascii="Times New Roman" w:hAnsi="Times New Roman"/>
          <w:bCs/>
          <w:sz w:val="28"/>
          <w:szCs w:val="28"/>
        </w:rPr>
        <w:t>- подъязычный;</w:t>
      </w:r>
    </w:p>
    <w:p>
      <w:pPr>
        <w:pStyle w:val="Style18"/>
        <w:spacing w:lineRule="auto" w:line="360"/>
        <w:ind w:left="709" w:hanging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- узел коленца.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Взаимоотношение нервов и ганглиев в области лица характеризуют рисунки 2 и 3.</w:t>
      </w:r>
    </w:p>
    <w:p>
      <w:pPr>
        <w:pStyle w:val="Normal"/>
        <w:autoSpaceDE w:val="false"/>
        <w:spacing w:lineRule="auto" w:line="240" w:before="0" w:after="0"/>
        <w:rPr>
          <w:rFonts w:ascii="Arial" w:hAnsi="Arial" w:eastAsia="Arial,Bold;Arial Unicode MS" w:cs="Arial"/>
          <w:sz w:val="20"/>
          <w:szCs w:val="20"/>
          <w:lang w:eastAsia="ru-RU"/>
        </w:rPr>
      </w:pPr>
      <w:r>
        <w:rPr/>
        <w:drawing>
          <wp:inline distT="0" distB="0" distL="0" distR="0">
            <wp:extent cx="4365625" cy="438086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1 - лобный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2 - слезный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>3 - ресничный узел,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bCs/>
          <w:sz w:val="28"/>
          <w:szCs w:val="28"/>
          <w:lang w:eastAsia="ru-RU"/>
        </w:rPr>
        <w:t xml:space="preserve">4 </w:t>
      </w: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- глазной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bCs/>
          <w:sz w:val="28"/>
          <w:szCs w:val="28"/>
          <w:lang w:eastAsia="ru-RU"/>
        </w:rPr>
        <w:t xml:space="preserve">5 </w:t>
      </w: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- верхнечелюстной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>6 - тройничный узел,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bCs/>
          <w:sz w:val="28"/>
          <w:szCs w:val="28"/>
          <w:lang w:eastAsia="ru-RU"/>
        </w:rPr>
        <w:t xml:space="preserve">7 </w:t>
      </w: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- нижнечелюстной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>8 - большой каменистый н.,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>9 - лицевой нерв,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10 - ушно-височный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11 - нижний альвеолярный н.,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>12 - язычный нерв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13 - подбородочный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14 - щечный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>15 - крылонебный узел,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16 - подглазничный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bCs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 xml:space="preserve">17 - скуловой нерв, </w:t>
      </w:r>
    </w:p>
    <w:p>
      <w:pPr>
        <w:pStyle w:val="Normal"/>
        <w:autoSpaceDE w:val="false"/>
        <w:spacing w:lineRule="auto" w:line="240" w:before="0" w:after="0"/>
        <w:rPr>
          <w:rFonts w:ascii="Times New Roman" w:hAnsi="Times New Roman" w:eastAsia="Arial,Bold;Arial Unicode MS" w:cs="Times New Roman"/>
          <w:sz w:val="28"/>
          <w:szCs w:val="28"/>
          <w:lang w:eastAsia="ru-RU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>18 - глазное яблоко,</w:t>
      </w:r>
    </w:p>
    <w:p>
      <w:pPr>
        <w:pStyle w:val="Normal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eastAsia="Arial,Bold;Arial Unicode MS" w:cs="Times New Roman" w:ascii="Times New Roman" w:hAnsi="Times New Roman"/>
          <w:sz w:val="28"/>
          <w:szCs w:val="28"/>
          <w:lang w:eastAsia="ru-RU"/>
        </w:rPr>
        <w:t>19 - слезная железа.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2.</w:t>
      </w:r>
      <w:r>
        <w:rPr>
          <w:rFonts w:cs="Times New Roman" w:ascii="Times New Roman" w:hAnsi="Times New Roman"/>
          <w:sz w:val="28"/>
          <w:szCs w:val="28"/>
        </w:rPr>
        <w:t xml:space="preserve"> Схема ветвления тройничного нерва.</w:t>
      </w:r>
      <w:r>
        <w:br w:type="page"/>
      </w:r>
    </w:p>
    <w:p>
      <w:pPr>
        <w:pStyle w:val="Style18"/>
        <w:spacing w:lineRule="auto" w:line="360"/>
        <w:jc w:val="both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933440" cy="2991485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19" r="-9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лицевой нерв;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промежуточный корешок;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большой каменистый нерв;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глубокий каменистый нерв;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нерв крыловидного канала;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крылонебный узел;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барабанная струна;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поднижнечелюстной узел;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барабанный нерв;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малый каменистый нерв;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ушной узел;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верхнечелюстной нерв;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нижнечелюстной нерв;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ушно-височный нерв;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язычный нерв; 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нервы, расположенные по ходу средней оболочечной артерии; </w:t>
      </w:r>
    </w:p>
    <w:p>
      <w:pPr>
        <w:pStyle w:val="Normal"/>
        <w:numPr>
          <w:ilvl w:val="0"/>
          <w:numId w:val="2"/>
        </w:numPr>
        <w:spacing w:lineRule="auto" w:line="240"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барабанное сплетение; </w:t>
      </w:r>
    </w:p>
    <w:p>
      <w:pPr>
        <w:pStyle w:val="Normal"/>
        <w:numPr>
          <w:ilvl w:val="0"/>
          <w:numId w:val="2"/>
        </w:numPr>
        <w:spacing w:lineRule="auto" w:line="240" w:before="0" w:after="28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соннобарабанные нервы. </w:t>
      </w:r>
    </w:p>
    <w:p>
      <w:pPr>
        <w:pStyle w:val="Normal"/>
        <w:spacing w:lineRule="auto" w:line="240" w:before="280" w:after="28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3.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Cs/>
          <w:sz w:val="28"/>
          <w:szCs w:val="28"/>
          <w:lang w:eastAsia="ru-RU"/>
        </w:rPr>
        <w:t>Схема ветвей лицевого и языкоглоточного нервов (по Иванову).</w:t>
      </w:r>
      <w:r>
        <w:br w:type="page"/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13">
            <wp:simplePos x="0" y="0"/>
            <wp:positionH relativeFrom="column">
              <wp:posOffset>2922905</wp:posOffset>
            </wp:positionH>
            <wp:positionV relativeFrom="paragraph">
              <wp:posOffset>614045</wp:posOffset>
            </wp:positionV>
            <wp:extent cx="3023235" cy="3447415"/>
            <wp:effectExtent l="0" t="0" r="0" b="0"/>
            <wp:wrapSquare wrapText="bothSides"/>
            <wp:docPr id="4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 l="-9" t="-8" r="-9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Н</w:t>
      </w:r>
      <w:r>
        <w:rPr>
          <w:rFonts w:cs="Times New Roman" w:ascii="Times New Roman" w:hAnsi="Times New Roman"/>
          <w:sz w:val="28"/>
          <w:szCs w:val="28"/>
        </w:rPr>
        <w:t>евралгия тройничного нерва (ТН) встречается чаще других, проявляется короткими приступами жгучей боли высокой интенсивности в зоне первой, второй или третьей ветви ТН – лобная, верхнечелюстная или нижнечелюстная локализация (Рис.4). Типичные ТТ в местах выхода основных ветвей, но могут локализоваться в любом месте на коже лица или слизистой оболочке носа, губ, десен, языка. Купируется антиконвульсантами (карбамазепин).</w:t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4.</w:t>
      </w:r>
      <w:r>
        <w:rPr>
          <w:rFonts w:cs="Times New Roman" w:ascii="Times New Roman" w:hAnsi="Times New Roman"/>
          <w:sz w:val="28"/>
          <w:szCs w:val="28"/>
        </w:rPr>
        <w:t xml:space="preserve"> Зоны иннервации ветвей тройничного нерва.</w:t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Отдельного описания заслуживает невралгия одной из ветвей тройничного нерва – носоресничного. Сеть его веточек захватывает обширную территорию (Рис.5):</w:t>
      </w:r>
    </w:p>
    <w:p>
      <w:pPr>
        <w:pStyle w:val="Style18"/>
        <w:spacing w:lineRule="auto" w:line="36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длинные и короткие ресничные нервы к глазному яблоку;</w:t>
      </w:r>
    </w:p>
    <w:p>
      <w:pPr>
        <w:pStyle w:val="Style18"/>
        <w:spacing w:lineRule="auto" w:line="36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передний решетчатый нерв – к слизистой оболочке переднего отдела боковой стенки полости носа, коже верхушки и крыльев носа;</w:t>
      </w:r>
    </w:p>
    <w:p>
      <w:pPr>
        <w:pStyle w:val="Style18"/>
        <w:spacing w:lineRule="auto" w:line="360"/>
        <w:ind w:left="709" w:hanging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задний решетчатый нерв – к слизистой оболочке клиновидной и задней стенке пазухи решетчатой кости.</w:t>
      </w:r>
    </w:p>
    <w:p>
      <w:pPr>
        <w:pStyle w:val="Style18"/>
        <w:spacing w:lineRule="auto" w:line="36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w:drawing>
          <wp:anchor behindDoc="0" distT="0" distB="0" distL="114935" distR="114935" simplePos="0" locked="0" layoutInCell="1" allowOverlap="1" relativeHeight="14">
            <wp:simplePos x="0" y="0"/>
            <wp:positionH relativeFrom="column">
              <wp:posOffset>49530</wp:posOffset>
            </wp:positionH>
            <wp:positionV relativeFrom="paragraph">
              <wp:posOffset>29845</wp:posOffset>
            </wp:positionV>
            <wp:extent cx="2519045" cy="2771140"/>
            <wp:effectExtent l="0" t="0" r="0" b="0"/>
            <wp:wrapSquare wrapText="bothSides"/>
            <wp:docPr id="5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4" t="-12" r="-14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 – надглазничный нерв;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2 – надблоковый нерв;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 – подблоковый нерв;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4 – наружная носовая ветвь переднего решетчатого нерва;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5 – подглазничный нерв;</w:t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jc w:val="both"/>
        <w:rPr/>
      </w:pPr>
      <w:r>
        <w:drawing>
          <wp:anchor behindDoc="0" distT="0" distB="0" distL="114935" distR="114935" simplePos="0" locked="0" layoutInCell="1" allowOverlap="1" relativeHeight="15">
            <wp:simplePos x="0" y="0"/>
            <wp:positionH relativeFrom="column">
              <wp:posOffset>14605</wp:posOffset>
            </wp:positionH>
            <wp:positionV relativeFrom="paragraph">
              <wp:posOffset>42545</wp:posOffset>
            </wp:positionV>
            <wp:extent cx="2553970" cy="2712720"/>
            <wp:effectExtent l="0" t="0" r="0" b="0"/>
            <wp:wrapSquare wrapText="bothSides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7" t="-16" r="-17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  <w:szCs w:val="24"/>
        </w:rPr>
        <w:t>6</w:t>
      </w:r>
      <w:r>
        <w:rPr>
          <w:rFonts w:cs="Times New Roman" w:ascii="Times New Roman" w:hAnsi="Times New Roman"/>
          <w:sz w:val="24"/>
          <w:szCs w:val="24"/>
        </w:rPr>
        <w:t xml:space="preserve"> – внутренние носовые ветви подглазничного нерва;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7 – передняя латеральная носовая ветвь переднего решетчатого нерва;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8 – обонятельный нерв;</w:t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9 – задняя латеральная носовая ветвь переднего решетчатого нерва;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10 – задняя верхняя боковая носовая ветвь верхнечелюстного нерва;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11 – задняя нижняя боковая носовая ветвь большого небного нерва;</w:t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12 – большой небный нерв;</w:t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13 – носовая ветвь переднего верхнего альвеолярного нерва.</w:t>
      </w:r>
    </w:p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5.</w:t>
      </w:r>
      <w:r>
        <w:rPr>
          <w:rFonts w:cs="Times New Roman" w:ascii="Times New Roman" w:hAnsi="Times New Roman"/>
          <w:sz w:val="28"/>
          <w:szCs w:val="28"/>
        </w:rPr>
        <w:t xml:space="preserve"> Зоны иннервации носоресничного нерва.</w:t>
      </w:r>
    </w:p>
    <w:p>
      <w:pPr>
        <w:pStyle w:val="Style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Типичный приступ не вызывает сомнений: мучительная жгучая боль в области глазного яблока, спинке и половине носа. Болевой синдром сопровождается слезотечением и выделением из одной ноздри жидкого секрета. Триггеры в области внутреннего угла глазницы и крыла носа. Диагностический тест – лидокаинизация слизистой оболочки переднего отдела носовой полости, которая в течение 2 минут купирует боль.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Сложность создают многочисленные стертые формы невралгии носоресничного нерва, развивающиеся вследствие хронических воспалительных процессов или после оперативного вмешательства на структурах носа. Спровоцировать развитие заболевания может переохлаждение (сквозняк, кондиционер), банальная ОРВИ.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При этом пациент может жаловаться на постоянные неприятные ощущения в глубине носа, в области спинки носа, под глазом (дизестезия и гиперпатия без типичной невралгии). Иногда ощущение описывается как жжение, однако часто больные затрудняются точно охарактеризовать модальность страдания, формулируя проблему как «неясные постоянные с периодическим усилением боли». ТТ, как правило, не выявляются.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Подобная локализация отнюдь не свидетельствует о психическом заболевании, а указывает на патологический процесс в зоне небольших веточек носоресничного нерва. В этом случае основным диагностическим тестом также становится обработка слизистой оболочки переднего отдела носовой полости лидокаиновым спреем. Купирование или облегчение боли подтверждает диагноз. Такие случаи следует расценивать как вторичный болевой синдром, а в лечении чаще бывают эффективны нестероидные противовоспалительные препараты.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Далее мы объединили дифференцируемые состояния по анатомическим областям.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Болевые синдромы области уха</w:t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Таблице 1 представлены нервы от заушной области до виска и соответствующие ганглии. Боль во всех случаях соответствует невралгическому типу, но локализация различна. Помимо топической характеристики болевого синдрома диагностике помогают лидокаиновые блокады соответствующих областей.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Следует отметить, что герпетическое поражение узла коленца не всегда проявляется полным симптомокомплексом, включающим признаки поражения </w:t>
      </w:r>
      <w:r>
        <w:rPr>
          <w:rFonts w:cs="Times New Roman" w:ascii="Times New Roman" w:hAnsi="Times New Roman"/>
          <w:sz w:val="28"/>
          <w:szCs w:val="28"/>
          <w:lang w:val="en-US"/>
        </w:rPr>
        <w:t>VIII</w:t>
      </w:r>
      <w:r>
        <w:rPr>
          <w:rFonts w:cs="Times New Roman" w:ascii="Times New Roman" w:hAnsi="Times New Roman"/>
          <w:sz w:val="28"/>
          <w:szCs w:val="28"/>
        </w:rPr>
        <w:t xml:space="preserve"> ч.н. (кохлеовестибулярный синдром) и </w:t>
      </w:r>
      <w:r>
        <w:rPr>
          <w:rFonts w:cs="Times New Roman" w:ascii="Times New Roman" w:hAnsi="Times New Roman"/>
          <w:sz w:val="28"/>
          <w:szCs w:val="28"/>
          <w:lang w:val="en-US"/>
        </w:rPr>
        <w:t>VII</w:t>
      </w:r>
      <w:r>
        <w:rPr>
          <w:rFonts w:cs="Times New Roman" w:ascii="Times New Roman" w:hAnsi="Times New Roman"/>
          <w:sz w:val="28"/>
          <w:szCs w:val="28"/>
        </w:rPr>
        <w:t xml:space="preserve"> ч.н. (парез лицевой мускулатуры) в сочетании с типичными высыпаниями – синдром Ханта. В ряде случаев может присутствовать характерная невралгическая боль, не всегда сопровождающаяся герпетическими высыпаниями в области ушной раковины и за ней. Данная форма невралгии трудно дифференцируется от невралгии барабанного нерва.</w:t>
      </w:r>
    </w:p>
    <w:p>
      <w:pPr>
        <w:pStyle w:val="Style1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Таблица 1.</w:t>
      </w:r>
      <w:r>
        <w:rPr>
          <w:rFonts w:cs="Times New Roman" w:ascii="Times New Roman" w:hAnsi="Times New Roman"/>
          <w:sz w:val="28"/>
          <w:szCs w:val="28"/>
        </w:rPr>
        <w:t xml:space="preserve"> Болевые синдромы области уха.</w:t>
      </w:r>
    </w:p>
    <w:p>
      <w:pPr>
        <w:pStyle w:val="Style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581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6"/>
        <w:gridCol w:w="2552"/>
        <w:gridCol w:w="4653"/>
      </w:tblGrid>
      <w:tr>
        <w:trPr/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Источник боли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Система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Зона распространения</w:t>
            </w:r>
          </w:p>
        </w:tc>
      </w:tr>
      <w:tr>
        <w:trPr/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Большой ушной нерв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Корешок С3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мочка уха, задняя часть ушной раковины, кожа за ухом</w:t>
            </w:r>
          </w:p>
        </w:tc>
      </w:tr>
      <w:tr>
        <w:trPr/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Барабанный нерв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Языкоглоточный нерв (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  <w:lang w:val="en-US"/>
              </w:rPr>
              <w:t>IX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 ч.н.)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наружный слуховой проход, среднее ухо, слуховая труба</w:t>
            </w:r>
          </w:p>
        </w:tc>
      </w:tr>
      <w:tr>
        <w:trPr/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Ушной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ганглий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Тройничный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нерв (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  <w:lang w:val="en-US"/>
              </w:rPr>
              <w:t>V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 ч.н.)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височная обл., кпереди от наружного слухового прохода</w:t>
            </w:r>
          </w:p>
        </w:tc>
      </w:tr>
      <w:tr>
        <w:trPr/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Ушно-височный нерв (с-м Фрей)</w:t>
            </w:r>
          </w:p>
        </w:tc>
        <w:tc>
          <w:tcPr>
            <w:tcW w:w="255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висок, передние отд.ушн.раковины и наружного слухового прохода</w:t>
            </w:r>
          </w:p>
        </w:tc>
      </w:tr>
      <w:tr>
        <w:trPr/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Узел коленца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(с-м Ханта)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Промежуточный нерв</w:t>
            </w:r>
          </w:p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(система 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  <w:lang w:val="en-US"/>
              </w:rPr>
              <w:t>VII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 ч.н.)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бараб.полость, наружн.слух.проход, ушная раковина, слух.трубa, небо, миндалины, язычок</w:t>
            </w:r>
          </w:p>
        </w:tc>
      </w:tr>
      <w:tr>
        <w:trPr/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Височно-нижнечелюстной сустав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передняя стенка наружного слухового прохода</w:t>
            </w:r>
          </w:p>
        </w:tc>
      </w:tr>
      <w:tr>
        <w:trPr/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Миофасциальный с-м кивательной, жевательной, крыловидных мышц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наружный слуховой проход, область височно-нижнечелюстного сустава</w:t>
            </w:r>
          </w:p>
        </w:tc>
      </w:tr>
    </w:tbl>
    <w:p>
      <w:pPr>
        <w:pStyle w:val="Style18"/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Говоря о болях в ухе, не следует забывать о дисфункции височно-нижнечелюстного сустава, который прилежит к передней стенке наружного слухового прохода. Характерны: </w:t>
      </w:r>
      <w:r>
        <w:rPr>
          <w:rFonts w:cs="Times New Roman" w:ascii="Times New Roman" w:hAnsi="Times New Roman"/>
          <w:bCs/>
          <w:sz w:val="28"/>
          <w:szCs w:val="28"/>
        </w:rPr>
        <w:t>S-образное движение в суставе, хруст, щелчок в суставе, ноющая боль перед ухом. Не всегда степень изменения сустава, по данным рентгенографии, настолько выражена, что требует оперативного лечения, но ортодонтические зубные шины в большинстве случаев способны существенно облегчить ситуацию.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Помимо болей патология сустава может создавать и звуковые аномалии: шум, заложенность и даже тугоухость.</w:t>
      </w:r>
      <w:r>
        <w:br w:type="page"/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Язычные боли</w:t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Болям в языке свойственны те же общие черты, что и всем невралгиям. Невралгические боли усиливаются во время еды и при разговоре. Лидокаиновая блокада соответствующих узлов может купировать болевой приступ (Табл.2).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плане дифференциальной диагностики не следует забывать синдром пылающего языка (частный случай синдрома пылающего рта, связанного с нарушением центральных механизмов восприятия боли). Для этой патологии характерно стихание болей во время разговора и еды.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Дефицит витамина В12 (пернициозная анемия) также может проявляться язычной болью: характерно ощущение жжения в кончике языка.</w:t>
      </w:r>
    </w:p>
    <w:p>
      <w:pPr>
        <w:pStyle w:val="Style18"/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Таблица 2. </w:t>
      </w:r>
      <w:r>
        <w:rPr>
          <w:rFonts w:cs="Times New Roman" w:ascii="Times New Roman" w:hAnsi="Times New Roman"/>
          <w:sz w:val="28"/>
          <w:szCs w:val="28"/>
        </w:rPr>
        <w:t>Болевые синдромы языка.</w:t>
      </w:r>
    </w:p>
    <w:p>
      <w:pPr>
        <w:pStyle w:val="Style1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9581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3119"/>
        <w:gridCol w:w="3944"/>
      </w:tblGrid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Источник боли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ind w:left="34" w:hanging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Система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Зона распространения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Язычный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нерв</w:t>
            </w:r>
          </w:p>
        </w:tc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</w:r>
          </w:p>
          <w:p>
            <w:pPr>
              <w:pStyle w:val="Style18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</w:r>
          </w:p>
          <w:p>
            <w:pPr>
              <w:pStyle w:val="Style1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Тройничный</w:t>
            </w:r>
          </w:p>
          <w:p>
            <w:pPr>
              <w:pStyle w:val="Style18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нерв (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  <w:lang w:val="en-US"/>
              </w:rPr>
              <w:t>V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 ч.н.)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передние 2/3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половины языка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Подъязычный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 xml:space="preserve">узел </w:t>
            </w:r>
          </w:p>
        </w:tc>
        <w:tc>
          <w:tcPr>
            <w:tcW w:w="31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передние 2/3 половины языка, подъязычная обл. 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Поднижнечел. узел</w:t>
            </w:r>
          </w:p>
        </w:tc>
        <w:tc>
          <w:tcPr>
            <w:tcW w:w="31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передние 2/3 половины языка, поднижнечел.обл.</w:t>
            </w:r>
          </w:p>
        </w:tc>
      </w:tr>
      <w:tr>
        <w:trPr/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Языкоглоточный нерв (</w:t>
            </w: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  <w:lang w:val="en-US"/>
              </w:rPr>
              <w:t>IX</w:t>
            </w: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 xml:space="preserve"> ч.н.)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задние 2/3 языка,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миндалина</w:t>
            </w:r>
          </w:p>
        </w:tc>
      </w:tr>
      <w:tr>
        <w:trPr/>
        <w:tc>
          <w:tcPr>
            <w:tcW w:w="5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«синдром пылающего языка»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обе половины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языка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«шейно-язычный синдром»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корешок С2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верхняя часть шеи и половина языка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миофасциальный синдром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ind w:firstLine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триггер в ср.трети мед. головки кивательной м.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глотка и задняя часть языка при глотании</w:t>
            </w:r>
          </w:p>
        </w:tc>
      </w:tr>
    </w:tbl>
    <w:p>
      <w:pPr>
        <w:pStyle w:val="Style18"/>
        <w:spacing w:lineRule="auto" w:line="27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Редкая ситуация шейно-язычный синдром: типична связь стреляющей боли в языке с движением шеи, обусловленная анастомозом корешка С2 и язычного нерва.</w:t>
      </w:r>
      <w:r>
        <w:br w:type="page"/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Болевые синдромы передней поверхности шеи.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Боль в горле встречается в клинике ЛОР-болезней весьма часто, однако не всегда удается связать испытываемые пациентом ощущения с патологией глотки или гортани. В ряде случаев боль в области передней поверхности шеи или «в глубине горла» может быть отнесена к разряду дисфункциональных (см. стр. 18). Однако существует также множество органических причин алгических синдромов «горла» (Табл. 3).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Style1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Таблица 3.</w:t>
      </w:r>
      <w:r>
        <w:rPr>
          <w:rFonts w:cs="Times New Roman" w:ascii="Times New Roman" w:hAnsi="Times New Roman"/>
          <w:sz w:val="28"/>
          <w:szCs w:val="28"/>
          <w:lang w:eastAsia="ru-RU"/>
        </w:rPr>
        <w:t xml:space="preserve"> Болевые синдромы передней поверхности шеи.</w:t>
      </w:r>
    </w:p>
    <w:p>
      <w:pPr>
        <w:pStyle w:val="Style1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tbl>
      <w:tblPr>
        <w:tblW w:w="9581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35"/>
        <w:gridCol w:w="3803"/>
      </w:tblGrid>
      <w:tr>
        <w:trPr/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Источник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Синдром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Характеристика</w:t>
            </w:r>
          </w:p>
        </w:tc>
      </w:tr>
      <w:tr>
        <w:trPr/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Подкожная м. шеи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Миофасциальный с-м</w:t>
            </w:r>
          </w:p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Фокальная дистония</w:t>
            </w:r>
          </w:p>
        </w:tc>
        <w:tc>
          <w:tcPr>
            <w:tcW w:w="3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Ноющие боли,</w:t>
            </w:r>
          </w:p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гипертонус</w:t>
            </w:r>
          </w:p>
        </w:tc>
      </w:tr>
      <w:tr>
        <w:trPr/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Кивательная мышца</w:t>
            </w:r>
          </w:p>
        </w:tc>
        <w:tc>
          <w:tcPr>
            <w:tcW w:w="28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spacing w:lineRule="auto" w:line="360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380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</w:r>
          </w:p>
        </w:tc>
      </w:tr>
      <w:tr>
        <w:trPr/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Верхний гортанный нерв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Невралгия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Триггер в области боковой поверхности гортани</w:t>
            </w:r>
          </w:p>
        </w:tc>
      </w:tr>
      <w:tr>
        <w:trPr/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Языкоглоточный нерв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С-м шиловидного отростка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Невралгические боли при глотании, разговоре</w:t>
            </w:r>
          </w:p>
        </w:tc>
      </w:tr>
      <w:tr>
        <w:trPr/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Верхний шейный симпатический узел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Симпаталгия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Жгучие боли в половине шеи, лица, головы, надплечья</w:t>
            </w:r>
          </w:p>
        </w:tc>
      </w:tr>
      <w:tr>
        <w:trPr/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Поднижнечел. узел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Ганглионит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Поднижнечел.обл. передние 2/3 половины языка</w:t>
            </w:r>
          </w:p>
        </w:tc>
      </w:tr>
      <w:tr>
        <w:trPr/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eastAsia="ru-RU"/>
              </w:rPr>
              <w:t>Корешок С4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Корешковый</w:t>
            </w:r>
          </w:p>
        </w:tc>
        <w:tc>
          <w:tcPr>
            <w:tcW w:w="3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3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eastAsia="ru-RU"/>
              </w:rPr>
              <w:t>Стреляющие боли при движениях шеи</w:t>
            </w:r>
          </w:p>
        </w:tc>
      </w:tr>
    </w:tbl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дифференциальной диагностике основой также служит получение точного описания боли и данные пальпации (мышечные синдромы, триггерные точки). В ряде случаев дополнительную информацию дает рентгенологическое исследование (патология позвонков, шиловидного отростка височной кости).</w:t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Прозопалгии</w:t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таблицу 4 включены варианты прозопалгий, требующих дифференцирования, за исключением описанной ранее невралгии тройничного нерва. Здесь объединены достаточно часто встречающиеся в ЛОР-клинике синдромы: Сладера (крылонебный узел), Оппенгейма (ресничный узел), Чарлина (носоресничный нерв), Файля (Видиев нерв).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Таблица 4. </w:t>
      </w:r>
      <w:r>
        <w:rPr>
          <w:rFonts w:cs="Times New Roman" w:ascii="Times New Roman" w:hAnsi="Times New Roman"/>
          <w:sz w:val="28"/>
          <w:szCs w:val="28"/>
        </w:rPr>
        <w:t>Боли в области лица.</w:t>
      </w:r>
    </w:p>
    <w:p>
      <w:pPr>
        <w:pStyle w:val="Style1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W w:w="9581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20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Источник боли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Система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Зона распространения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Крылонебный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 xml:space="preserve">узел 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Тройничный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Нерв (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  <w:lang w:val="en-US"/>
              </w:rPr>
              <w:t>V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 ч.н.)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верхняя челюсть, твердое небо, глазн. яблоко, корень носа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Ресничный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узел</w:t>
            </w:r>
          </w:p>
        </w:tc>
        <w:tc>
          <w:tcPr>
            <w:tcW w:w="31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2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глазное яблоко, надбровье, спинка и половина носа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Носоресничый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нерв</w:t>
            </w:r>
          </w:p>
        </w:tc>
        <w:tc>
          <w:tcPr>
            <w:tcW w:w="31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32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Видиев</w:t>
            </w:r>
          </w:p>
          <w:p>
            <w:pPr>
              <w:pStyle w:val="Style18"/>
              <w:spacing w:lineRule="auto" w:line="276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нерв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Лицевой нерв (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  <w:lang w:val="en-US"/>
              </w:rPr>
              <w:t>VII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 ч.н.) + сплетение ВСА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ткани орбиты (не глазное яблоко)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Верхний шейный симпатический узел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Шейный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симпатический ствол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половина лица, головы, шеи, надплечья</w:t>
            </w:r>
          </w:p>
        </w:tc>
      </w:tr>
      <w:tr>
        <w:trPr/>
        <w:tc>
          <w:tcPr>
            <w:tcW w:w="6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Идиопатическая персистирующая</w:t>
            </w:r>
          </w:p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лицевая боль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все лицо или любая его часть</w:t>
            </w:r>
          </w:p>
        </w:tc>
      </w:tr>
    </w:tbl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7">
            <wp:simplePos x="0" y="0"/>
            <wp:positionH relativeFrom="column">
              <wp:posOffset>-635</wp:posOffset>
            </wp:positionH>
            <wp:positionV relativeFrom="paragraph">
              <wp:posOffset>12065</wp:posOffset>
            </wp:positionV>
            <wp:extent cx="1769745" cy="2174875"/>
            <wp:effectExtent l="0" t="0" r="0" b="0"/>
            <wp:wrapSquare wrapText="bothSides"/>
            <wp:docPr id="7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Э</w:t>
      </w:r>
      <w:r>
        <w:rPr>
          <w:rFonts w:cs="Times New Roman" w:ascii="Times New Roman" w:hAnsi="Times New Roman"/>
          <w:sz w:val="28"/>
          <w:szCs w:val="28"/>
        </w:rPr>
        <w:t>пицентры боли различаются, но распространение может быть идентично в связи с анастомозированием всех упомянутых структур (Рис.6). Тем не менее, определение исходного болевого пункта важно, так как диагностическая лидокаинизация носовых ходов позволяет прервать болевой приступ в первых трех случаях.</w:t>
      </w:r>
    </w:p>
    <w:p>
      <w:pPr>
        <w:pStyle w:val="Style18"/>
        <w:spacing w:lineRule="auto" w:line="276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6.</w:t>
      </w:r>
      <w:r>
        <w:rPr>
          <w:rFonts w:cs="Times New Roman" w:ascii="Times New Roman" w:hAnsi="Times New Roman"/>
          <w:sz w:val="28"/>
          <w:szCs w:val="28"/>
        </w:rPr>
        <w:t xml:space="preserve"> Распространение боли при синдроме Сладера.</w:t>
      </w:r>
    </w:p>
    <w:p>
      <w:pPr>
        <w:pStyle w:val="Style1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Пузырьковые высыпания в зоне болей, соответствующей распространению веточек любого из перечисленных нервных узлов являются симптомом герпетической инфекции, что помимо симптоматической терапии требует курса противовирусного лечения.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Сталкиваясь с очень широкой болевой зоной нужно иметь в виду симпаталгию, связанную с ирритацией шейных симпатических узлов, которую также можно купировать блокадой ганглия. Распространение болей по симпатической нервной системе может приводить к гемисимпаталгии – мучительному болевому синдрому, охватывающему половину тела. В таком случае требуется дифференцировать состояние с таламическим поражением.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дифференциальный ряд также попадает </w:t>
      </w:r>
      <w:r>
        <w:rPr>
          <w:rFonts w:cs="Times New Roman" w:ascii="Times New Roman" w:hAnsi="Times New Roman"/>
          <w:bCs/>
          <w:sz w:val="28"/>
          <w:szCs w:val="28"/>
        </w:rPr>
        <w:t>идиопатическая персистирующая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лицевая боль (ранее – атипичная лицевая боль), определяемая как постоянная боль в лице, не отвечающая диагностическим критериям ни одной из описанных форм краниальных невралгий и не связанная с другой патологией.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Критерии диагностики согласно </w:t>
      </w:r>
      <w:r>
        <w:rPr>
          <w:rFonts w:cs="Times New Roman" w:ascii="Times New Roman" w:hAnsi="Times New Roman"/>
          <w:sz w:val="28"/>
          <w:szCs w:val="28"/>
          <w:lang w:eastAsia="ru-RU"/>
        </w:rPr>
        <w:t>МКГБ-3: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А.</w:t>
      </w:r>
      <w:r>
        <w:rPr>
          <w:rFonts w:cs="Times New Roman" w:ascii="Times New Roman" w:hAnsi="Times New Roman"/>
          <w:bCs/>
          <w:sz w:val="28"/>
          <w:szCs w:val="28"/>
        </w:rPr>
        <w:t xml:space="preserve"> Боль в лице, присутствующая ежедневно и на протяжении почти всего дня.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В.</w:t>
      </w:r>
      <w:r>
        <w:rPr>
          <w:rFonts w:cs="Times New Roman" w:ascii="Times New Roman" w:hAnsi="Times New Roman"/>
          <w:bCs/>
          <w:sz w:val="28"/>
          <w:szCs w:val="28"/>
        </w:rPr>
        <w:t xml:space="preserve"> Вначале боль захватывает ограниченную зону на одной половине лица, ощущается глубоко и плохо локализуется пациентами. 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С.</w:t>
      </w:r>
      <w:r>
        <w:rPr>
          <w:rFonts w:cs="Times New Roman" w:ascii="Times New Roman" w:hAnsi="Times New Roman"/>
          <w:bCs/>
          <w:sz w:val="28"/>
          <w:szCs w:val="28"/>
        </w:rPr>
        <w:t xml:space="preserve"> Боль не сопровождается чувствительными нарушениями.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D.</w:t>
      </w:r>
      <w:r>
        <w:rPr>
          <w:rFonts w:cs="Times New Roman" w:ascii="Times New Roman" w:hAnsi="Times New Roman"/>
          <w:bCs/>
          <w:sz w:val="28"/>
          <w:szCs w:val="28"/>
        </w:rPr>
        <w:t xml:space="preserve"> Исследования не обнаруживают  значимой патологии.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Атипичная лицевая боль – диагноз, устанавливаемый по принципу исключения, т.е. первый этап диагностики заключается в рассмотрении и исключении всех возможных причин боли в зоне интереса.</w:t>
      </w:r>
      <w:r>
        <w:br w:type="page"/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Дисфункциональные лицевые боли</w:t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Идиопатическая персистирующая лицевая боль может быть спровоцирована хирургическим вмешательством на лице, травмой лица, зубов или десен, пункцией околоносовых пазух; однако ее постоянство нельзя связать ни с одной локальной причиной. Она рассматривается как дисфункциональный процесс, связанный с нарушением центральных механизмов восприятия боли, что сближает ее с синдромом пылающего рта.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хирургической клинике встречается еще один своеобразный болевой феномен, развивающийся, как правило, после инвазивного вмешательства у пациентов с самыми разными настоящими или испытанными в прошлом болями в области головы, лица и краниовертебрального перехода. Имеют значение перенесенные ганглиониты, невралгии, шейные корешковые синдромы, миофасциальные феномены перикраниальной мускулатуры, мигрени, одонталгии, синуситы, а также стоматологические, ото- и ринологические, косметологические и офтальмологические хирургические вмешательства.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итоге формируется синдром, включающий трудно дифференцируемые боли во всех компрометированных зонах, мигрирующие из одной системы в другую, создавая видимость одновременного наличия нескольких алгических феноменов. Для обозначения таких болей мы пользуемся термином «комплексный болевой синдром лица». 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По-видимому, он занимает промежуточное положение между дисфункциональными и невропатическими феноменами и имеет много общего как с идиопатической болью, так и с комплексным регионарным болевым синдромом, связанным с повреждением периферического нерва. Больше всего пациентов всех трех групп роднят психологические особенности – исходно существующие или приобретенные в результате длительного постоянного страдания, что существенно затрудняет опрос пациента.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таблице 5 обобщены критерии, обеспечивающие дифференциальную диагностику.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Таблица 5. </w:t>
      </w:r>
      <w:r>
        <w:rPr>
          <w:rFonts w:cs="Times New Roman" w:ascii="Times New Roman" w:hAnsi="Times New Roman"/>
          <w:sz w:val="28"/>
          <w:szCs w:val="28"/>
        </w:rPr>
        <w:t>Сравнительная характеристика сложных болевых синдромов.</w:t>
      </w:r>
    </w:p>
    <w:p>
      <w:pPr>
        <w:pStyle w:val="Style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581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2"/>
        <w:gridCol w:w="2347"/>
        <w:gridCol w:w="2345"/>
        <w:gridCol w:w="2357"/>
      </w:tblGrid>
      <w:tr>
        <w:trPr/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spacing w:lineRule="auto" w:line="276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Свойства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firstLine="18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ИПЛБ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left="35" w:hanging="0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КРБС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jc w:val="center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КБСЛ</w:t>
            </w:r>
          </w:p>
        </w:tc>
      </w:tr>
      <w:tr>
        <w:trPr/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Характер</w:t>
            </w:r>
          </w:p>
          <w:p>
            <w:pPr>
              <w:pStyle w:val="Style18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болей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firstLine="1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описание</w:t>
            </w:r>
          </w:p>
          <w:p>
            <w:pPr>
              <w:pStyle w:val="Style18"/>
              <w:ind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нечетко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left="35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жгучие, дергающие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разные</w:t>
            </w:r>
          </w:p>
        </w:tc>
      </w:tr>
      <w:tr>
        <w:trPr/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Тип</w:t>
            </w:r>
          </w:p>
          <w:p>
            <w:pPr>
              <w:pStyle w:val="Style18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болей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постоянные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left="35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приступы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мигрирующие</w:t>
            </w:r>
          </w:p>
        </w:tc>
      </w:tr>
      <w:tr>
        <w:trPr/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Соответствие зоне нерва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нет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left="35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 нерв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обычно - нет</w:t>
            </w:r>
          </w:p>
        </w:tc>
      </w:tr>
      <w:tr>
        <w:trPr/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Нарушение чувствительности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нет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left="35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 одной области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различные</w:t>
            </w:r>
          </w:p>
        </w:tc>
      </w:tr>
      <w:tr>
        <w:trPr/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Триггерные пункты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нет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Style18"/>
              <w:ind w:left="35" w:hang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есть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Style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могут быть</w:t>
            </w:r>
          </w:p>
        </w:tc>
      </w:tr>
    </w:tbl>
    <w:p>
      <w:pPr>
        <w:pStyle w:val="Style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Cs/>
          <w:sz w:val="24"/>
          <w:szCs w:val="24"/>
        </w:rPr>
        <w:t>ИПЛБ – идиопатическая персистирующая лицевая боль; КРБС – комплексный регионарный болевой синдром; КБСЛ – комплексный болевой синдром лица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Лечение всех трех заболеваний – сложная задача, требующая подбора комбинации психотропных, противосудорожных и противовоспалительных препаратов. В некоторых случаях необходимо применение лидокаиновых блокад или хирургических методов. Целесообразно направление таких пациентов в центры, специализирующиеся на лечении боли.</w:t>
      </w:r>
      <w:r>
        <w:br w:type="page"/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Миофасциальные боли</w:t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Миофасциальная триггерная точка (МТТ) представляет собой гиперраздражимый участок уплотнения мышечной ткани и/или ее фасции. МТТ свойственна болезненность при пальпации и характерный паттерн отраженной боли – миофасциальный болевой синдром. Боли, отраженные от МТТ, описываются как тупые тянущие или ноющие ощущения средней интенсивности, иногда провоцируемые движением головы или жеванием. Важной чертой МТТ является способность формировать триггеры второго и третьего порядка в зонах боли, отраженной из первичной точки. Такое свойство требует внимательного тестирования всех шейных и лицевых мышц в случае, когда пациент предъявляет жалобы не на распирающие или стреляющие боли, а – на тянуще-ноющие.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МБС, обусловленный патологией шейных и жевательных мышц, может имитировать клиническую картину ринита, синусита, фарингита и отита.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Чаще других среди шейных страдают следующие мышцы:</w:t>
      </w:r>
    </w:p>
    <w:p>
      <w:pPr>
        <w:pStyle w:val="Style18"/>
        <w:numPr>
          <w:ilvl w:val="0"/>
          <w:numId w:val="3"/>
        </w:numPr>
        <w:spacing w:lineRule="auto" w:line="36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8">
            <wp:simplePos x="0" y="0"/>
            <wp:positionH relativeFrom="column">
              <wp:posOffset>27940</wp:posOffset>
            </wp:positionH>
            <wp:positionV relativeFrom="paragraph">
              <wp:posOffset>1056005</wp:posOffset>
            </wp:positionV>
            <wp:extent cx="3737610" cy="2672715"/>
            <wp:effectExtent l="0" t="0" r="0" b="0"/>
            <wp:wrapSquare wrapText="bothSides"/>
            <wp:docPr id="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Г</w:t>
      </w:r>
      <w:r>
        <w:rPr>
          <w:rFonts w:cs="Times New Roman" w:ascii="Times New Roman" w:hAnsi="Times New Roman"/>
          <w:sz w:val="28"/>
          <w:szCs w:val="28"/>
        </w:rPr>
        <w:t>рудинноключично-сосцевидная мышца (Рис.7). МТТ в медиальной головке проявляется болью в области щеки, верхней челюсти, надбровье и орбиты, а также «в горле» при глотании, маскируясь под фарингит; боль может отражаться в глубину наружного слухового прохода и в корень языка. МТТ латеральной головке отражает боль в область лба, имитируя фронтит (иногда – двусторонний).</w:t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7.</w:t>
      </w:r>
      <w:r>
        <w:rPr>
          <w:rFonts w:cs="Times New Roman" w:ascii="Times New Roman" w:hAnsi="Times New Roman"/>
          <w:sz w:val="28"/>
          <w:szCs w:val="28"/>
        </w:rPr>
        <w:t xml:space="preserve"> Триггеры грудинно-ключично-сосцевидной мышцы.</w:t>
      </w:r>
    </w:p>
    <w:p>
      <w:pPr>
        <w:pStyle w:val="Style18"/>
        <w:numPr>
          <w:ilvl w:val="0"/>
          <w:numId w:val="3"/>
        </w:numPr>
        <w:spacing w:lineRule="auto" w:line="360"/>
        <w:ind w:left="0" w:hanging="0"/>
        <w:jc w:val="both"/>
        <w:rPr/>
      </w:pPr>
      <w:r>
        <w:drawing>
          <wp:anchor behindDoc="0" distT="0" distB="0" distL="114935" distR="114935" simplePos="0" locked="0" layoutInCell="1" allowOverlap="1" relativeHeight="16">
            <wp:simplePos x="0" y="0"/>
            <wp:positionH relativeFrom="column">
              <wp:posOffset>4434205</wp:posOffset>
            </wp:positionH>
            <wp:positionV relativeFrom="paragraph">
              <wp:posOffset>87630</wp:posOffset>
            </wp:positionV>
            <wp:extent cx="1557655" cy="2477770"/>
            <wp:effectExtent l="0" t="0" r="0" b="0"/>
            <wp:wrapSquare wrapText="bothSides"/>
            <wp:docPr id="9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15" r="-2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Т</w:t>
      </w:r>
      <w:r>
        <w:rPr>
          <w:rFonts w:cs="Times New Roman" w:ascii="Times New Roman" w:hAnsi="Times New Roman"/>
          <w:sz w:val="28"/>
          <w:szCs w:val="28"/>
        </w:rPr>
        <w:t>рапециевидная мышца. Триггеры могут быть в разных порциях мышцы; для клиники ЛОР-болезней наиболее актуальна ТТ, показанная на рисунке 8. Боли могут иррадиировать в нижние моляры, в переднюю височную зону, а также в ушную раковину и сосцевидный отросток, имитируя наружный отит и мастоидит.</w:t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8.</w:t>
      </w:r>
      <w:r>
        <w:rPr>
          <w:rFonts w:cs="Times New Roman" w:ascii="Times New Roman" w:hAnsi="Times New Roman"/>
          <w:sz w:val="28"/>
          <w:szCs w:val="28"/>
        </w:rPr>
        <w:t xml:space="preserve"> Триггер в верхней порции трапециевидной мышцы</w:t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numPr>
          <w:ilvl w:val="0"/>
          <w:numId w:val="3"/>
        </w:numPr>
        <w:spacing w:lineRule="auto" w:line="360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114935" distR="114935" simplePos="0" locked="0" layoutInCell="1" allowOverlap="1" relativeHeight="9">
            <wp:simplePos x="0" y="0"/>
            <wp:positionH relativeFrom="column">
              <wp:posOffset>4126230</wp:posOffset>
            </wp:positionH>
            <wp:positionV relativeFrom="paragraph">
              <wp:posOffset>68580</wp:posOffset>
            </wp:positionV>
            <wp:extent cx="1791970" cy="1810385"/>
            <wp:effectExtent l="0" t="0" r="0" b="0"/>
            <wp:wrapSquare wrapText="bothSides"/>
            <wp:docPr id="10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 l="-18" t="-18" r="-1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П</w:t>
      </w:r>
      <w:r>
        <w:rPr>
          <w:rFonts w:cs="Times New Roman" w:ascii="Times New Roman" w:hAnsi="Times New Roman"/>
          <w:sz w:val="28"/>
          <w:szCs w:val="28"/>
        </w:rPr>
        <w:t>одзатылочные мышцы: нижняя и верхняя косые, большая и малая прямые мышцы головы. Отраженные боли в затылочную и околоушную области фронтит могут напоминать боли при среднем отите (Рис.9).</w:t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Рисунок 9.</w:t>
      </w:r>
      <w:r>
        <w:rPr>
          <w:rFonts w:cs="Times New Roman" w:ascii="Times New Roman" w:hAnsi="Times New Roman"/>
          <w:sz w:val="28"/>
          <w:szCs w:val="28"/>
        </w:rPr>
        <w:t xml:space="preserve"> Триггерные точки в подзатылочных мышцах.</w:t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Аномалии зубной окклюзии или височно-нижнечелюстного сустава могут приводить к формированию МТТ в группе жевательных мышц:</w:t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w:drawing>
          <wp:anchor behindDoc="0" distT="0" distB="0" distL="114935" distR="114935" simplePos="0" locked="0" layoutInCell="1" allowOverlap="1" relativeHeight="10">
            <wp:simplePos x="0" y="0"/>
            <wp:positionH relativeFrom="column">
              <wp:posOffset>4247515</wp:posOffset>
            </wp:positionH>
            <wp:positionV relativeFrom="paragraph">
              <wp:posOffset>60960</wp:posOffset>
            </wp:positionV>
            <wp:extent cx="1670685" cy="2172335"/>
            <wp:effectExtent l="0" t="0" r="0" b="0"/>
            <wp:wrapSquare wrapText="bothSides"/>
            <wp:docPr id="1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9" t="-22" r="-29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numPr>
          <w:ilvl w:val="0"/>
          <w:numId w:val="1"/>
        </w:numPr>
        <w:spacing w:lineRule="auto" w:line="360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Височная мышца. МТТ в разных участках обеспечивают широкое распространение болевых феноменов. Отраженные в надбровную область боли из пункта в передних пучках мышцы могут симулировать фронтит (Рис.10).</w:t>
      </w:r>
    </w:p>
    <w:p>
      <w:pPr>
        <w:pStyle w:val="Style18"/>
        <w:ind w:left="72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Рисунок 10.</w:t>
      </w:r>
      <w:r>
        <w:rPr>
          <w:rFonts w:cs="Times New Roman" w:ascii="Times New Roman" w:hAnsi="Times New Roman"/>
          <w:sz w:val="28"/>
          <w:szCs w:val="28"/>
        </w:rPr>
        <w:t xml:space="preserve"> Триггерный пункт в передних пучках височной мышцы.</w:t>
      </w:r>
      <w:r>
        <w:br w:type="page"/>
      </w:r>
    </w:p>
    <w:p>
      <w:pPr>
        <w:pStyle w:val="Style18"/>
        <w:numPr>
          <w:ilvl w:val="0"/>
          <w:numId w:val="1"/>
        </w:numPr>
        <w:spacing w:lineRule="auto" w:line="360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Жевательная мышца. МТТ в разных отделах мышцы отражают боли в область проекции верхнечелюстной пазухи, надбровье и ухо, что может создавать видимость болевых синдромов гайморита, фронтита и отита соответственно (Рис.11).</w:t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w:drawing>
          <wp:anchor behindDoc="0" distT="0" distB="0" distL="114935" distR="114935" simplePos="0" locked="0" layoutInCell="1" allowOverlap="1" relativeHeight="11">
            <wp:simplePos x="0" y="0"/>
            <wp:positionH relativeFrom="column">
              <wp:posOffset>2829560</wp:posOffset>
            </wp:positionH>
            <wp:positionV relativeFrom="paragraph">
              <wp:posOffset>-1245235</wp:posOffset>
            </wp:positionV>
            <wp:extent cx="3098800" cy="3595370"/>
            <wp:effectExtent l="0" t="0" r="0" b="0"/>
            <wp:wrapSquare wrapText="bothSides"/>
            <wp:docPr id="1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 l="-14" t="-12" r="-14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Рисунок 11.</w:t>
      </w:r>
      <w:r>
        <w:rPr>
          <w:rFonts w:cs="Times New Roman" w:ascii="Times New Roman" w:hAnsi="Times New Roman"/>
          <w:sz w:val="28"/>
          <w:szCs w:val="28"/>
        </w:rPr>
        <w:t xml:space="preserve"> Триггерные точки в жевательной мышце.</w:t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lang w:val="en-US" w:eastAsia="en-US"/>
        </w:rPr>
        <w:drawing>
          <wp:anchor behindDoc="0" distT="0" distB="0" distL="114935" distR="114935" simplePos="0" locked="0" layoutInCell="1" allowOverlap="1" relativeHeight="12">
            <wp:simplePos x="0" y="0"/>
            <wp:positionH relativeFrom="column">
              <wp:posOffset>3295650</wp:posOffset>
            </wp:positionH>
            <wp:positionV relativeFrom="paragraph">
              <wp:posOffset>165100</wp:posOffset>
            </wp:positionV>
            <wp:extent cx="2632710" cy="2814320"/>
            <wp:effectExtent l="0" t="0" r="0" b="0"/>
            <wp:wrapSquare wrapText="bothSides"/>
            <wp:docPr id="1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</a:blip>
                    <a:srcRect l="-24" t="-22" r="-24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numPr>
          <w:ilvl w:val="0"/>
          <w:numId w:val="1"/>
        </w:numPr>
        <w:spacing w:lineRule="auto" w:line="360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Медиальная крыловидная мышца. МТТ вызывает отраженные боли в области височно-нижнечелюстного сустава и в глубине уха (Рис.12). Подобная локализация закономерно может создать впечатление среднего отита.</w:t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Рисунок 12.</w:t>
      </w:r>
      <w:r>
        <w:rPr>
          <w:rFonts w:cs="Times New Roman" w:ascii="Times New Roman" w:hAnsi="Times New Roman"/>
          <w:sz w:val="28"/>
          <w:szCs w:val="28"/>
        </w:rPr>
        <w:t xml:space="preserve"> Триггер в медиальной крыловидной мышце.</w:t>
      </w:r>
      <w:r>
        <w:br w:type="page"/>
      </w:r>
    </w:p>
    <w:p>
      <w:pPr>
        <w:pStyle w:val="Style18"/>
        <w:numPr>
          <w:ilvl w:val="0"/>
          <w:numId w:val="1"/>
        </w:numPr>
        <w:spacing w:lineRule="auto" w:line="360"/>
        <w:ind w:lef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Латеральная крыловидная мышца. МТТ в разных порциях мышцы отражают боль в область верхнечелюстной пазухи и в область височно-нижнечелюстного сустава (Рис.13). Картина в зависимости от преобладающей ирритации может напоминать гайморит или средний отит.</w:t>
      </w:r>
    </w:p>
    <w:p>
      <w:pPr>
        <w:pStyle w:val="Style2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2388235" cy="2286635"/>
            <wp:effectExtent l="0" t="0" r="0" b="0"/>
            <wp:docPr id="1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 l="-18" t="-19" r="-18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2296160" cy="2226945"/>
            <wp:effectExtent l="0" t="0" r="0" b="0"/>
            <wp:docPr id="1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 l="-19" t="-19" r="-19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8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Рисунок 13.</w:t>
      </w:r>
      <w:r>
        <w:rPr>
          <w:rFonts w:cs="Times New Roman" w:ascii="Times New Roman" w:hAnsi="Times New Roman"/>
          <w:sz w:val="28"/>
          <w:szCs w:val="28"/>
        </w:rPr>
        <w:t xml:space="preserve"> Триггеры в латеральной крыловидной мышце.</w:t>
      </w:r>
    </w:p>
    <w:p>
      <w:pPr>
        <w:pStyle w:val="Style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Также заслуживает упоминания затылочно-лобная мышца. Отраженные от триггера в лобном брюшке боли локализуются в лобной области, что соответствует зоне лобной пазухи (фронтит). Болевая иррадиация от триггера в затылочном брюшке создает неприятные ощущения глубоко в орбите, заставляя вспомнить в т.ч. о сфеноидите.</w:t>
      </w:r>
    </w:p>
    <w:p>
      <w:pPr>
        <w:pStyle w:val="Style18"/>
        <w:spacing w:lineRule="auto" w:line="36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Мигрень</w:t>
      </w:r>
    </w:p>
    <w:p>
      <w:pPr>
        <w:pStyle w:val="Style18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Style18"/>
        <w:spacing w:lineRule="auto" w:line="360"/>
        <w:ind w:firstLine="709"/>
        <w:jc w:val="both"/>
        <w:rPr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Говоря о болевых синдромах в ЛОР-клинике, нельзя обойти такое заболевание как мигрень со стволовой аурой (ранее – мигрень базилярного типа – МБТ). Согласно МКГБ-3, ее д</w:t>
      </w:r>
      <w:r>
        <w:rPr>
          <w:sz w:val="28"/>
          <w:szCs w:val="28"/>
        </w:rPr>
        <w:t>иагностические критерии таковы:</w:t>
      </w:r>
    </w:p>
    <w:p>
      <w:pPr>
        <w:pStyle w:val="Style18"/>
        <w:spacing w:lineRule="auto" w:line="3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А.</w:t>
      </w:r>
      <w:r>
        <w:rPr>
          <w:sz w:val="28"/>
          <w:szCs w:val="28"/>
        </w:rPr>
        <w:t xml:space="preserve"> По меньшей мере 2 приступа.</w:t>
      </w:r>
    </w:p>
    <w:p>
      <w:pPr>
        <w:pStyle w:val="Style18"/>
        <w:spacing w:lineRule="auto" w:line="3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В.</w:t>
      </w:r>
      <w:r>
        <w:rPr>
          <w:sz w:val="28"/>
          <w:szCs w:val="28"/>
        </w:rPr>
        <w:t xml:space="preserve"> Аура включает по меньшей мере два симптома: 1) дизартрия; 2) головокружение; 3) шум в ушах; 4) гипоакузия; 5) двоение; 6) зрительные нарушения; 7) атаксия; 8) нарушение сознания; 9) двусторонние парестезии.</w:t>
      </w:r>
    </w:p>
    <w:p>
      <w:pPr>
        <w:pStyle w:val="Style18"/>
        <w:spacing w:lineRule="auto" w:line="3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С.</w:t>
      </w:r>
      <w:r>
        <w:rPr>
          <w:sz w:val="28"/>
          <w:szCs w:val="28"/>
        </w:rPr>
        <w:t xml:space="preserve"> По меньшей мере один из признаков: 1) симптомы ауры развиваются не менее 5 минут; 2) каждый симптом длится ≥5-60 минут.</w:t>
      </w:r>
    </w:p>
    <w:p>
      <w:pPr>
        <w:pStyle w:val="Style18"/>
        <w:spacing w:lineRule="auto" w:line="3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D.</w:t>
      </w:r>
      <w:r>
        <w:rPr>
          <w:sz w:val="28"/>
          <w:szCs w:val="28"/>
        </w:rPr>
        <w:t xml:space="preserve"> Головная боль, соответствующая критериям для мигрени без ауры.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b/>
          <w:sz w:val="28"/>
          <w:szCs w:val="28"/>
        </w:rPr>
        <w:t>Е.</w:t>
      </w:r>
      <w:r>
        <w:rPr>
          <w:sz w:val="28"/>
          <w:szCs w:val="28"/>
        </w:rPr>
        <w:t xml:space="preserve"> Не связана с другими причинами.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>Совокупность первых четырех признаков ауры (критерий В) соответствует кохлеовестибулярному синдрому. Необходимость дифференцировать данную нозологию возникает в отоневрологии при наличии у пациента меньероподобных эпизодов.</w:t>
      </w:r>
    </w:p>
    <w:p>
      <w:pPr>
        <w:pStyle w:val="Style18"/>
        <w:spacing w:lineRule="auto" w:line="36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  <w:lang w:eastAsia="ru-RU"/>
        </w:rPr>
        <w:t>Зачастую при этом варианте мигрени настолько тяжело переносится стадия ауры, что страдающие ею люди даже не упоминают о болевой составляющей приступа. В результате без прицельного опроса диагностика идет по ложному пути и пациенты годами лечатся без эффекта.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Следующей диагностической сложностью является то, что детализация анамнеза у 86% больных с признаками МБТ позволяет связать начало заболевания с кранио-цервикальной травмой или дебютом миофасциального синдрома шейного уровня. В такой ситуации следует диагностировать вторичный болевой синдром (критерий Е) – шейную мигрень (синдром Барэ-Льеу); лишь менее 15% пациентов с описываемыми приступами страдают истинной первичной болью – МБТ.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en-US" w:eastAsia="ru-RU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 xml:space="preserve">В заключение подчеркнем, что основой точной диагностики болевых синдромов лица всегда служит детализация жалоб и анамнеза вкупе с подробным неврологическим исследованием. И, несмотря на дефицит времени на приеме, помимо обычных вопросов, стоит задавать еще несколько: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cs="Times New Roman" w:ascii="Times New Roman" w:hAnsi="Times New Roman"/>
          <w:bCs/>
          <w:sz w:val="28"/>
          <w:szCs w:val="28"/>
          <w:u w:val="single"/>
          <w:lang w:eastAsia="ru-RU"/>
        </w:rPr>
        <w:t>Следует ли боль за головокружением?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cs="Times New Roman" w:ascii="Times New Roman" w:hAnsi="Times New Roman"/>
          <w:bCs/>
          <w:sz w:val="28"/>
          <w:szCs w:val="28"/>
          <w:u w:val="single"/>
          <w:lang w:eastAsia="ru-RU"/>
        </w:rPr>
        <w:t>Не было ли в прошлом травмы шеи/головы?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cs="Times New Roman" w:ascii="Times New Roman" w:hAnsi="Times New Roman"/>
          <w:bCs/>
          <w:sz w:val="28"/>
          <w:szCs w:val="28"/>
          <w:u w:val="single"/>
          <w:lang w:eastAsia="ru-RU"/>
        </w:rPr>
        <w:t>Какие операции в области лица имели место?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Во многих случаях ответы именно на эти вопросы позволят определить диагноз и провести соответствующее ему лечение.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sectPr>
      <w:headerReference w:type="default" r:id="rId17"/>
      <w:type w:val="nextPage"/>
      <w:pgSz w:w="11906" w:h="16838"/>
      <w:pgMar w:left="1701" w:right="850" w:header="708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  <w:font w:name="Arial">
    <w:charset w:val="cc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25</w:t>
    </w:r>
    <w:r>
      <w:rPr/>
      <w:fldChar w:fldCharType="end"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sz w:val="28"/>
        <w:szCs w:val="28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/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/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/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/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/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/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/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/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sz w:val="28"/>
        <w:szCs w:val="28"/>
        <w:rFonts w:ascii="Times New Roman" w:hAnsi="Times New Roman" w:cs="Times New Roman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7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/>
  </w:style>
  <w:style w:type="character" w:styleId="WW8Num2z0">
    <w:name w:val="WW8Num2z0"/>
    <w:qFormat/>
    <w:rPr>
      <w:rFonts w:ascii="Times New Roman" w:hAnsi="Times New Roman" w:cs="Times New Roman"/>
      <w:sz w:val="28"/>
      <w:szCs w:val="28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>
      <w:rFonts w:ascii="Times New Roman" w:hAnsi="Times New Roman" w:cs="Times New Roman"/>
      <w:sz w:val="28"/>
      <w:szCs w:val="28"/>
    </w:rPr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St3z0">
    <w:name w:val="WW8NumSt3z0"/>
    <w:qFormat/>
    <w:rPr>
      <w:rFonts w:ascii="Symbol" w:hAnsi="Symbol" w:cs="Symbol"/>
    </w:rPr>
  </w:style>
  <w:style w:type="character" w:styleId="Style14">
    <w:name w:val="Основной шрифт абзаца"/>
    <w:qFormat/>
    <w:rPr/>
  </w:style>
  <w:style w:type="character" w:styleId="Style15">
    <w:name w:val="Верхний колонтитул Знак"/>
    <w:qFormat/>
    <w:rPr>
      <w:rFonts w:ascii="Times New Roman" w:hAnsi="Times New Roman" w:eastAsia="Times New Roman" w:cs="Times New Roman"/>
      <w:sz w:val="24"/>
      <w:szCs w:val="24"/>
    </w:rPr>
  </w:style>
  <w:style w:type="character" w:styleId="Style16">
    <w:name w:val="Нижний колонтитул Знак"/>
    <w:qFormat/>
    <w:rPr>
      <w:sz w:val="22"/>
      <w:szCs w:val="22"/>
    </w:rPr>
  </w:style>
  <w:style w:type="character" w:styleId="Style17">
    <w:name w:val="Текст выноски Знак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8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19">
    <w:name w:val="Обычный (веб)"/>
    <w:basedOn w:val="Normal"/>
    <w:qFormat/>
    <w:pPr/>
    <w:rPr>
      <w:rFonts w:ascii="Times New Roman" w:hAnsi="Times New Roman" w:cs="Times New Roman"/>
      <w:sz w:val="24"/>
      <w:szCs w:val="24"/>
    </w:rPr>
  </w:style>
  <w:style w:type="paragraph" w:styleId="Style20">
    <w:name w:val="Абзац списка"/>
    <w:basedOn w:val="Normal"/>
    <w:qFormat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4"/>
      <w:szCs w:val="24"/>
    </w:rPr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</w:rPr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1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header" Target="header1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2015-10-09T16:47:00Z</dcterms:created>
  <dc:creator>Admin</dc:creator>
  <dc:description/>
  <cp:keywords/>
  <dc:language>en-US</dc:language>
  <cp:lastModifiedBy>Тардов МА</cp:lastModifiedBy>
  <cp:lastPrinted>2015-07-16T11:09:00Z</cp:lastPrinted>
  <dcterms:modified xsi:type="dcterms:W3CDTF">2016-02-05T15:50:00Z</dcterms:modified>
  <cp:revision>4</cp:revision>
  <dc:subject/>
  <dc:title/>
</cp:coreProperties>
</file>