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46" w:rsidRPr="00C65977" w:rsidRDefault="00450146" w:rsidP="00450146">
      <w:pPr>
        <w:pStyle w:val="a3"/>
        <w:tabs>
          <w:tab w:val="left" w:pos="0"/>
        </w:tabs>
        <w:ind w:left="0"/>
        <w:jc w:val="center"/>
        <w:rPr>
          <w:b/>
          <w:sz w:val="24"/>
          <w:szCs w:val="24"/>
        </w:rPr>
      </w:pPr>
      <w:bookmarkStart w:id="0" w:name="_Hlk72795513"/>
      <w:r w:rsidRPr="00C65977">
        <w:rPr>
          <w:b/>
          <w:sz w:val="24"/>
          <w:szCs w:val="24"/>
        </w:rPr>
        <w:t>Методические рекомендации.</w:t>
      </w:r>
    </w:p>
    <w:bookmarkEnd w:id="0"/>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«Оптимизация хирургического лечения деформаций перегородки носа», 2016</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«Диагностика и хирургическое лечение больных хроническим гнойным средним отитом с мукозитом», 2016</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«Дифференциальная диагностика болевых синдромов в клинике ЛОР-болезней», 2016</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«БОС-терапия в оториноларингологии», 2016</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Хирургическое лечение хронического кистозного гайморита. Методические рекомендации №31 – М., 2018. (Департамент здравоохранения города Москвы)</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Лечебно-диагностическая тактика при неаллергическом рините с эозинофильным синдромом. Методические рекомендации № 32 – М., 2018. (Департамент здравоохранения города Москвы)</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Интраоперационная пластика ятрогенных дефектов перегородки носа. Методические рекомендации №33 – М., 2018. (Департамент здравоохранения города Москвы)</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Крюков А.И., Кунельская Н.Л., А.Ю. Ивойлов, Полуэктов М.Г., А.Б.Туровский, Тардов М.В., Царапкин Г.Ю., Архангельская И.И., Яновский В.В., Мачулин А.И., Морозова З.Н., Панасов С.А., Кишиневский А.Е. «Синдром детского обструктивного апноэ сна, ассоциированный с аденотонзиллярной гипертрофией». 2018</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Крюков А.И.; Кунельская Н.Л.; Ивойлов А.Ю.; Туровский А.Б.; Хамзалиева Р.Б.; Изотова Г.Н.; Мачулин А.И.; Яновский В.В.; Пакина В.Р.; Архангельская И.И.; Лучшева Ю.В.; Шадрин Г.Б.; Морозова З.Н.; Арзамазов С.Г. Методические рекомендации «Лечебно-диагностическая тактика при аденоидах и аденоидитах в детском возрасте». 2018</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Крюков А.И., Кунельская Н.Л., Гаров Е.В., Ивойлов А.Ю., Зеликович Е.И., Хамзалиева Р.Б., Сидорина Н.Г., Фёдорова О.В., Зеленкова В.Н., Загорская Е.Е., Лаврова А.С., Шадрин Г.Б., Куриленков Г.В., Сударев П.А., Гарова Е.Е., Мищенко В.В., Мепаришвили А.С., Лапенко Е.Г., Киселюс В.Э., Мартиросян Т.Г. Клиника и диагностика атипичного воспаления в среднем ухе. Методические рекомендации, М., 2018.</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 xml:space="preserve">Крюков А.И., Кунельская Н.Л., Гаров Е.В., Сидорина Н.Г., Фёдорова О.В., Загорская Е.Е., Зеленкова В.Н., Сударев П.А., Гарова Е.Е., Мищенко В.В., Мепаришвили А.С., Лапенко Е.Г., Киселюс В.Э., Мартиросян Т.Г. Особенности стапедопластики у больных тимпаносклерозом. Методические рекомендации, М., 2018. </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Крюков А.И., Кунельская Н.Л., Плавунов Н.Ф., Кадышев В.А., Гаров Е.В., Ивойлов А.Ю., Хамзалиева Р.Б., Сидорина Н.Г., Фёдорова О.В., Зеленкова В.Н., Загорская Е.Е., Калошина А.С., Шадрин Г.Б., Сударев П.А., Гарова Е.Е., Мищенко В.В., Мепаришвили А.С., Лапенко Е.Г., Киселюс В.Э., Мартиросян Т.Г. Отоскопия в практике врача скорой и неотложной медицинской помощи. Учебно-методические рекомендации №84, М., 2018.</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Крюков А.И., Кунельская Н.Л., Янюшкина Е.С., Байбакова Е.В., Чугунова М.А., Негребова М.А. Диагностика и медикаментозная терапия субъективного ушного шума. Методические рекомендации Москва, 2018</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Крюков А.И., Кунельская Н.Л., Тардов М.В., Янюшкина Е.С., Байбакова Е.В., Чугунова М.А., Заоева З.О. Вестибулярные нарушения периферического генеза. Принципы диагностики и лечения. Методические рекомендации Москва, 2018</w:t>
      </w:r>
    </w:p>
    <w:p w:rsidR="00450146" w:rsidRPr="00C65977" w:rsidRDefault="00450146" w:rsidP="00450146">
      <w:pPr>
        <w:pStyle w:val="a3"/>
        <w:numPr>
          <w:ilvl w:val="0"/>
          <w:numId w:val="1"/>
        </w:numPr>
        <w:tabs>
          <w:tab w:val="left" w:pos="284"/>
        </w:tabs>
        <w:ind w:left="0" w:firstLine="0"/>
        <w:jc w:val="both"/>
        <w:rPr>
          <w:sz w:val="24"/>
          <w:szCs w:val="24"/>
        </w:rPr>
      </w:pPr>
      <w:r w:rsidRPr="00C65977">
        <w:rPr>
          <w:sz w:val="24"/>
          <w:szCs w:val="24"/>
        </w:rPr>
        <w:t xml:space="preserve"> А.И. Крюков, Н.Л. Кунельская, М.В. Тардов, Е.В. Носуля, Е.В Байбакова, С.Г. Романенко, Е.С. Янюшкина, М.А. Чугунова, Е.А Кулакова, Е.Е. Загорская, Ю.В. Левина, З.О. Заоева, Е.Е. Гарова, З.Н. Морозова, Э.В. Ларионова. Московский врач. Подготовка к экзамену по теме «Исследование функций и семиотика патологии вестибулярного анализатора» Москва -2018</w:t>
      </w:r>
    </w:p>
    <w:p w:rsidR="00450146" w:rsidRPr="00C65977" w:rsidRDefault="00450146" w:rsidP="00450146">
      <w:pPr>
        <w:pStyle w:val="a3"/>
        <w:numPr>
          <w:ilvl w:val="0"/>
          <w:numId w:val="1"/>
        </w:numPr>
        <w:tabs>
          <w:tab w:val="left" w:pos="426"/>
        </w:tabs>
        <w:ind w:left="0" w:firstLine="0"/>
        <w:jc w:val="both"/>
        <w:rPr>
          <w:sz w:val="24"/>
          <w:szCs w:val="24"/>
        </w:rPr>
      </w:pPr>
      <w:r w:rsidRPr="00C65977">
        <w:rPr>
          <w:sz w:val="24"/>
          <w:szCs w:val="24"/>
        </w:rPr>
        <w:t xml:space="preserve"> «Диагностика и лечение тонзилломикоза у детей». Москва. 2018. – 23с. </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«Фармакотерапия гнойно-воспалительной патологии ЛОР-органов», Методические рекомендации №54. Москва, 2018, 38с.</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«Лечебно-диагностическая тактика при аденоидах и аденоидитах в детском возрасте». Методические рекомендации №3 – М., 2018. – 20с.</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А.И.Крюков, Н.Л. Кунельская, Е.В.Байбакова, М.В.Тардов, Е.С.Янюшкина, М.А </w:t>
      </w:r>
      <w:r w:rsidRPr="00C65977">
        <w:rPr>
          <w:sz w:val="24"/>
          <w:szCs w:val="24"/>
        </w:rPr>
        <w:lastRenderedPageBreak/>
        <w:t>Чугунова, Е.А. Кулакова, Я.Ю.Никиткина, З.О.Заоева, В.И.Шурпо, Э.В.Ларионова. Как «обуздать» субъективный ушной шум. Руководство для пациентов. М.-2019</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 Крюков А.И., Кунельская Н.Л., Ивойлов А.Ю., Гаров Е.В., Носуля Е.В., Кисина А.Г., Сударев П.А., Мачулин А.И., Яновский В.В., Пакина В.Р., Архангельская И.И., Лучшева Ю.В., Мищенко В.В., Морозова З.Н., Мепаришвили А.С., Горовая Е.В., Фирсова М.В. Экссудативный средний отит в детском возрасте. Методические рекомендации, М., 2019.</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 Крюков А.И., Кунельская В.Я., Кунельская Н.Л., Гаров Е.В., Ивойлов А.Ю., Носуля Е.В., Сидорина Н.Г., Фёдорова О.В., Романенко С.Г., Кучеров А.Г., Муратов Д.Л., Зеленкова В.Н., Шадрин Г.Б., Сударев П.А., Гарова Е.Е., Мищенко В.В., Мепаришвили А.С., Лапенко Е.Г., Киселюс В.Э., Томилин Ф.А. Отоскопия. Методические рекомендации, М., 2019.</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 Крюков А.И., Кунельская Н.Л., Гаров Е.В., Зеликович Е.И., Сидорина Н.Г., Фёдорова О.В., Загорская Е.Е., Зеленкова В.Н., Сударев П.А., Куриленков Г.В., Гарова Е.Е., Мищенко В.В., Мепаришвили А.С., Лапенко Е.Г., Киселюс В.Э., Томилин Ф.А. Компьютерная томография височных костей в клинической практике оториноларинголога. Методические рекомендации, М., 2019.</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 «Контурная пластика нижних носовых раковин» Методические рекомендации №56. Департамент здравоохранения города Москвы, 2020. –18с.Член-корр. РАН, Засл. деятель науки РФ, д.м.н., проф. А.И. Крюков, д.м.н., проф. Н.Л. Кунельская, д.м.н. Г.Ю. Царапкин, к.м.н. А.В.Артемьева-Карелова, к.м.н. А.С. Товмасян. </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«Особенности диагностики и хирургического лечения рубцовой деформации преддверия носа» Методические рекомендации №59 Член-корр. РАН, Засл. деятель науки РФ, д.м.н., проф., А.И. Крюков, д.м.н., проф. Н.Л. Кунельская, д.м.н. Г.Ю. Царапкин, к.м.н. А.С. Товмасян, к.м.н. Н.В Усачева., к.м.н. А.В.Артемьева-Карелова, м.н.с. А.Е. Кишиневский.</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Крюков А.И., Кунельская Н.Л., Ивойлов А.Ю., Полуэктов М.Г., Туровский А.Б., Тардов М.В., Царапкин Г.Ю., Архангельская И.И., Яновский В.В.,Мачулин А.И., Кучеров А.Г., Заоева З.О., Морозова З.Н., Паносов С.А.,Кишиневский А.Е., Поляева М.Ю. Синдром обструктивного апноэ сна у детей, ассоциированный с аденотонзиллярной гипертрофией. / Под редакцией А.И.Крюкова. Москва. 2019</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Экссудативный средний отит в детском возрасте/ Методические рекомендации. - Под редакцией А.И. Крюкова. - Москва. - 2019. </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 «Острый синусит» Методические рекомендации №17. Составители: 2020г.Член-корр. РАН, Засл. деятель науки РФ, д.м.н., проф. А.И. Крюков, д.м.н., проф. Е.В. Носуля, проф. Н.Л. Кунельская, к.м.н. С.Г. Романенко, д.м.н. Г.Ю. Царапкин, д.м.н. проф. А.В. Гуров, к.м.н. А.С. Товмасян, к.м.н. М.Ю. Поляева, С.А. Панасов. </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«Диагностика хронического тонзиллита» М., 2020, №102., 27с. Составители: 2020г. Член-корр. РАН, Засл. деятель науки РФ, д.м.н., проф. А.И. Крюков, д.м.н. Н.А. Дайхес, д.м.н., проф. Е.В. Носуля, проф. Н.Л. Кунельская, д.м.н. проф. Е.А. Зубарева, Д.В. Трухин</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«Синдром обструктивного апноэ сна: диагностика и консервативное лечение позиция невролога». Методические рекомендации №49. Департамент здравоохранения города Москвы, 2020. –24с. Крюков А.И., Кунельская Н.Л., Тардов М.В., Ивойлов А.Ю., Царапкин Г.Ю., Болдин А.В., Архангельская И.И., Артемьев М.Е., Клясов А.В., Филин А.А., Панасов С.А. </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«Оказание специализированной медицинской помощи взрослому населению по профилю «Оториноларингология» в условиях новой коронавирусной инфекции COVID-19». Методические рекомендации №61. Департамент здравоохранения города Москвы, 2020. –31с. Крюков А.И., Гехт А.Б, Кунельская Н.Л., Царапкин Г.Ю., Василенко И.П., Кирасирова Е.А., Гаров Е.В., Хамзалиева Р.Б., Кадышев В.А., Романенко С.Г., Бессараб Т.П., Сударев П.А., Тимофеева М.Г., Казакова А.А., Товмасян А.С., Янюшкина Е.С., Кишиневский А.Е., Чалов Д.М., Горовая Е.В. </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Крюков А.И., Кунельская Н.Л., Романенко С.Г., Павлихин О.Г., Лесогорова Е.В., </w:t>
      </w:r>
      <w:r w:rsidRPr="00C65977">
        <w:rPr>
          <w:sz w:val="24"/>
          <w:szCs w:val="24"/>
        </w:rPr>
        <w:lastRenderedPageBreak/>
        <w:t>Елисеев О.В., Лучшева Ю.В., Красникова Д.И., Поляева Т.К., Савватеева Н.В. Лечение нарушений голосовой функции у пациентов пожилого возраста.  Методические рекомендации под редакцией А.И. Крюкова.- Москва.- 2020, М.,  24 с.</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Крюков А.И., Кунельская Н.Л., Кунельская В.Я., Романенко С.Г., Павлихин О.Г., Лесогорова Е.В., Елисеев О.В., Шадрин Г.Б., Красникова Д.И., Смирнова Е.Н., Теплых Е.А. Фотодинамическая терапия в лечении ларингомикоза. Методические рекомендации под редакцией А.И. Крюкова.- Москва.- 2020, М.,  18 с.</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Крюков А.И., Кунельская Н.Л., Кунельская В.Я., Романенко С.Г., Павлихин О.Г., Лесогорова Е.В., Елисеев О.В., Шадрин Г.Б., Красникова Д.И., Смирнова Е.Н., Теплых Е.А. Диагностика и лечения ларингомикоза. под редакцией А.И. Крюкова.- Москва.- 2020, М.,  26 с.</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Методические рекомендации №50.  «Выбор оптимального метода хирургического лечения рубцового стеноза гортани и трахеи». Член-корр. РАН, Заслуженный деятель науки РФ, д.м.н., проф. А.И. Крюков, д.м.н., проф. Н.Л. Кунельская, д.м.н. Е.А. Кирасирова, к.м.н. Р.Ф. Мамедов, к.м.н. Н.В. Лафуткина, к.м.н. Р.А. Резаков, асп. М.Ю. Усова, асп. Е.В. Кулабухов. </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Методические рекомендации № 57 «Профилактика осложнений трахеостомии у больных с постоянным и временным канюленосительством». Член-корр. РАН, Заслуженный деятель науки РФ, д.м.н., проф. А.И. Крюков, д.м.н., проф. Н.Л. Кунельская, д.м.н. Е.А. Кирасирова, д.м.н. Е.И. Зелекович,к.м.н. Р.Ф. Мамедов, к.м.н. Н.В. Лафуткина, к.м.н. Р.А. Резаков, М.А. Усова, Е.В. Кулабухов</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Методические рекомендации №58.  «Мультиспиральная компьютерная томография рубцового стеноза гортани и трахеи». Член-корр. РАН, Заслуженный деятель науки РФ, д.м.н., проф. А.И. Крюков, д.м.н., проф. Н.Л. Кунельская, д.м.н. Е.А. Кирасирова, д.м.н. Е.И. Зелекович, к.м.н. Р.Ф. Мамедов, к.м.н. Г.В. Куреленков, к.м.н. Н.В. Лафуткина, к.м.н. Р.А. Резаков, к.м.н. В.А. Нечаев.</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Крюков А.И., Кунельская Н.Л., Гаров Е.В., Сидорина Н.Г., Фёдорова О.В., Загорская Е.Е., Зеленкова В.Н., Мосейкина Л.А., Сударев П.А., Киселюс В.Э., Мищенко В.В., Калошина А.С., Гарова Е.Е., Панасова А.С., Лапенко Е.Г., Мартиросян Т.Г., Томилов Ф.А., Омарова М.М., Пряхина М.А. Диагностика и лечение травм среднего уха на амбулаторном этапе. Методические рекомендации №47, М., 2020 - 18 с.</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Крюков А.И., Кунельская Н.Л., Гаров Е.В., Зеликович Е.И., Сидорина Н.Г., Фёдорова О.В., Загорская Е.Е., Зеленкова В.Н., Мосейкина Л.А., Сударев П.А., Киселюс В.Э., Мищенко В.В., Калошина А.С., Куриленков Г.В., Гарова Е.Е., Панасова А.С., Лапенко Е.Г., Шурпо В.И., Мартиросян Т.Г., Томилов Ф.А., Омарова М.М., Пряхина М.А. Выбор средств ассистенции при стапедопластике у больных отосклерозом. Методические рекомендации №51, М., 2020 - 19 с.</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Богомильский М.Р., Рахманова И.В., Крюков А.И., Ильенко И.Л., Кунельская Н.Л., Петряйкина Е.Е., Ивойлов А.Ю., Кисина А.Г., Ишатова Ю.С., Матроскин А.Г., Лебедева С.Ю., Кругляков А.Ю., Дембицкая К.В. Методические рекомендации №11. Алгоритм исследования слуховой функции недоношенных детей. Москва, 2020.</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Член-корр. РАН, Заслуженный деятель науки РФ, д.м.н., проф. А.И. Крюков, д.м.н., проф. Н.Л. Кунельская, д.м.н. М.В.Тардов, д.м.н., проф. Л.Г. Агасаров, д.м.н. А.В. Болдин, к.м.н. А.В. Клясов, к.м.н. Е.В. Байбакова, к.м.н. З.О.Заоева, к.м.н. М.А. Чугунова, к.м.н. Е.С. Янюшкина, к.м.н. М.А.Мохирев, В.И. Шурпо, А.А. Филин</w:t>
      </w:r>
      <w:r w:rsidRPr="00C65977">
        <w:rPr>
          <w:sz w:val="24"/>
          <w:szCs w:val="24"/>
        </w:rPr>
        <w:tab/>
        <w:t>«Синдром Костена: диагностика и лечение». Москва, 2020.</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Крюков А.И., Кунельская Н.Л., Тардов М.В., Болдин А.В., Байбакова Е.В., Заоева З.О., Чугунова М.А., Янюшкина Е.С., Клясов А.В., Шурпо В.И., А.А. Филин. «Шейное головокружение: принципы диагностики и лечения». №101, М., 2020, 20 стр.</w:t>
      </w:r>
    </w:p>
    <w:p w:rsidR="00450146" w:rsidRPr="00C65977" w:rsidRDefault="00450146" w:rsidP="00450146">
      <w:pPr>
        <w:pStyle w:val="a3"/>
        <w:numPr>
          <w:ilvl w:val="0"/>
          <w:numId w:val="1"/>
        </w:numPr>
        <w:tabs>
          <w:tab w:val="left" w:pos="142"/>
          <w:tab w:val="left" w:pos="426"/>
        </w:tabs>
        <w:ind w:left="0" w:firstLine="0"/>
        <w:jc w:val="both"/>
        <w:rPr>
          <w:sz w:val="24"/>
          <w:szCs w:val="24"/>
        </w:rPr>
      </w:pPr>
      <w:r w:rsidRPr="00C65977">
        <w:rPr>
          <w:sz w:val="24"/>
          <w:szCs w:val="24"/>
        </w:rPr>
        <w:t xml:space="preserve">Крюков А.И., Кунельская Н.Л., Сударев П.А., Байбакова Е.В., Тардов М.В., Чугунова М.А., Заоева З.О., Манаенкова Е.А., Янюшкина Е.С., Никиткина Я.Ю., Клясов А.В., Шурпо В.И. «Периферическое и центральное позиционное головокружение: дифференциальный </w:t>
      </w:r>
      <w:r w:rsidRPr="00C65977">
        <w:rPr>
          <w:sz w:val="24"/>
          <w:szCs w:val="24"/>
        </w:rPr>
        <w:lastRenderedPageBreak/>
        <w:t>диагноз». №100, М., 2020 – 18с.</w:t>
      </w:r>
    </w:p>
    <w:p w:rsidR="00450146" w:rsidRPr="00C65977" w:rsidRDefault="00450146" w:rsidP="00450146">
      <w:pPr>
        <w:pStyle w:val="a4"/>
        <w:tabs>
          <w:tab w:val="left" w:pos="0"/>
          <w:tab w:val="left" w:pos="142"/>
          <w:tab w:val="left" w:pos="426"/>
        </w:tabs>
        <w:spacing w:line="240" w:lineRule="auto"/>
        <w:jc w:val="center"/>
        <w:rPr>
          <w:rFonts w:ascii="Times New Roman" w:hAnsi="Times New Roman" w:cs="Times New Roman"/>
          <w:b/>
          <w:iCs/>
          <w:sz w:val="24"/>
          <w:szCs w:val="24"/>
        </w:rPr>
      </w:pPr>
    </w:p>
    <w:p w:rsidR="00450146" w:rsidRPr="00C65977" w:rsidRDefault="00450146" w:rsidP="00450146">
      <w:pPr>
        <w:pStyle w:val="a4"/>
        <w:tabs>
          <w:tab w:val="left" w:pos="0"/>
        </w:tabs>
        <w:spacing w:line="240" w:lineRule="auto"/>
        <w:jc w:val="center"/>
        <w:rPr>
          <w:rFonts w:ascii="Times New Roman" w:hAnsi="Times New Roman" w:cs="Times New Roman"/>
          <w:b/>
          <w:iCs/>
          <w:sz w:val="24"/>
          <w:szCs w:val="24"/>
        </w:rPr>
      </w:pPr>
      <w:r w:rsidRPr="00C65977">
        <w:rPr>
          <w:rFonts w:ascii="Times New Roman" w:hAnsi="Times New Roman" w:cs="Times New Roman"/>
          <w:b/>
          <w:iCs/>
          <w:sz w:val="24"/>
          <w:szCs w:val="24"/>
        </w:rPr>
        <w:t>Клинические рекомендации</w:t>
      </w:r>
    </w:p>
    <w:p w:rsidR="00450146" w:rsidRPr="00C65977" w:rsidRDefault="00450146" w:rsidP="00450146">
      <w:pPr>
        <w:pStyle w:val="a4"/>
        <w:tabs>
          <w:tab w:val="left" w:pos="0"/>
        </w:tabs>
        <w:spacing w:line="240" w:lineRule="auto"/>
        <w:jc w:val="both"/>
        <w:rPr>
          <w:rFonts w:ascii="Times New Roman" w:hAnsi="Times New Roman" w:cs="Times New Roman"/>
          <w:b/>
          <w:i/>
          <w:sz w:val="24"/>
          <w:szCs w:val="24"/>
        </w:rPr>
      </w:pPr>
    </w:p>
    <w:p w:rsidR="00450146" w:rsidRPr="00C65977" w:rsidRDefault="00450146" w:rsidP="00450146">
      <w:pPr>
        <w:pStyle w:val="a3"/>
        <w:numPr>
          <w:ilvl w:val="0"/>
          <w:numId w:val="2"/>
        </w:numPr>
        <w:tabs>
          <w:tab w:val="left" w:pos="284"/>
        </w:tabs>
        <w:ind w:left="0" w:firstLine="0"/>
        <w:jc w:val="both"/>
        <w:rPr>
          <w:sz w:val="24"/>
          <w:szCs w:val="24"/>
        </w:rPr>
      </w:pPr>
      <w:r w:rsidRPr="00C65977">
        <w:rPr>
          <w:sz w:val="24"/>
          <w:szCs w:val="24"/>
        </w:rPr>
        <w:t>Тимпаносклероз (Кунельская Н.Л., Гаров Е.В., Свистушкин В.М., Ивойлов А.Ю., Сидорина Н.Г., Загорская Е.Е., Зеленкова В.Н., Муратов Д.Л., Поливода А.М., Сударев П.А..) Национальная медицинская ассоциация оториноларингологов. Москва, 2016.</w:t>
      </w:r>
    </w:p>
    <w:p w:rsidR="00450146" w:rsidRPr="00C65977" w:rsidRDefault="00450146" w:rsidP="00450146">
      <w:pPr>
        <w:pStyle w:val="a3"/>
        <w:numPr>
          <w:ilvl w:val="0"/>
          <w:numId w:val="2"/>
        </w:numPr>
        <w:tabs>
          <w:tab w:val="left" w:pos="284"/>
        </w:tabs>
        <w:ind w:left="0" w:firstLine="0"/>
        <w:jc w:val="both"/>
        <w:rPr>
          <w:sz w:val="24"/>
          <w:szCs w:val="24"/>
        </w:rPr>
      </w:pPr>
      <w:r w:rsidRPr="00C65977">
        <w:rPr>
          <w:sz w:val="24"/>
          <w:szCs w:val="24"/>
        </w:rPr>
        <w:t>Отосклероз (Байбакова Е.В., Белякова Л.В., Гаров Е.В., Гарова Е.Е., Гаршина Е.В., Загорская Е.Е.. Зеленкова В.Н., Зеликович Е.И., Киселев А.Б., Крюков А.И., Кунельская Н.Л., Лаврова А.С., Левина Ю.В., Максимова Е.А., Мищенко В.В., Сидорина Н.Г., Сударев П.А., Фёдорова О.В., Чугунова М.А., Шеремет А.С.) Национальная медицинская ассоциация оториноларингологов. Москва, 2016.</w:t>
      </w:r>
    </w:p>
    <w:p w:rsidR="00450146" w:rsidRPr="00C65977" w:rsidRDefault="00450146" w:rsidP="00450146">
      <w:pPr>
        <w:pStyle w:val="a3"/>
        <w:numPr>
          <w:ilvl w:val="0"/>
          <w:numId w:val="2"/>
        </w:numPr>
        <w:tabs>
          <w:tab w:val="left" w:pos="284"/>
        </w:tabs>
        <w:ind w:left="0" w:firstLine="0"/>
        <w:jc w:val="both"/>
        <w:rPr>
          <w:sz w:val="24"/>
          <w:szCs w:val="24"/>
        </w:rPr>
      </w:pPr>
      <w:r w:rsidRPr="00C65977">
        <w:rPr>
          <w:sz w:val="24"/>
          <w:szCs w:val="24"/>
        </w:rPr>
        <w:t xml:space="preserve">Хронический гнойный средний отит (Крюков А.И., Кунельская Н.Л., Гаров Е.В., Магомедов М.М., Ивойлов А.Ю., Карнеева О.В., Диаб Х.М.А., Сидорина Н.Г., Лаврова А.С., Загорская Е.Е., Гарова Е.Е.) Национальная медицинская ассоциация оториноларингологов. Москва, 2016. </w:t>
      </w:r>
    </w:p>
    <w:p w:rsidR="00450146" w:rsidRDefault="00450146" w:rsidP="00450146">
      <w:pPr>
        <w:tabs>
          <w:tab w:val="left" w:pos="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60B56" w:rsidRDefault="00560B56">
      <w:bookmarkStart w:id="1" w:name="_GoBack"/>
      <w:bookmarkEnd w:id="1"/>
    </w:p>
    <w:sectPr w:rsidR="00560B56" w:rsidSect="00F84F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C62"/>
    <w:multiLevelType w:val="hybridMultilevel"/>
    <w:tmpl w:val="12F0F5AC"/>
    <w:lvl w:ilvl="0" w:tplc="8D0CA5D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753A1178"/>
    <w:multiLevelType w:val="hybridMultilevel"/>
    <w:tmpl w:val="D4DA6234"/>
    <w:lvl w:ilvl="0" w:tplc="1EF4E49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46"/>
    <w:rsid w:val="00450146"/>
    <w:rsid w:val="00560B56"/>
    <w:rsid w:val="00F8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CB76-50C9-7843-AD55-D7CF9E18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0146"/>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14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 Spacing"/>
    <w:qFormat/>
    <w:rsid w:val="00450146"/>
    <w:pPr>
      <w:suppressAutoHyphens/>
      <w:spacing w:line="100" w:lineRule="atLeast"/>
      <w:textAlignment w:val="baseline"/>
    </w:pPr>
    <w:rPr>
      <w:rFonts w:ascii="Calibri" w:eastAsia="Calibri" w:hAnsi="Calibri" w:cs="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Рынкова</dc:creator>
  <cp:keywords/>
  <dc:description/>
  <cp:lastModifiedBy>Анна Рынкова</cp:lastModifiedBy>
  <cp:revision>1</cp:revision>
  <dcterms:created xsi:type="dcterms:W3CDTF">2021-11-01T05:42:00Z</dcterms:created>
  <dcterms:modified xsi:type="dcterms:W3CDTF">2021-11-01T05:43:00Z</dcterms:modified>
</cp:coreProperties>
</file>